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E6A78" w14:textId="77777777" w:rsidR="008A198F" w:rsidRDefault="008A198F" w:rsidP="001F0B15">
      <w:pPr>
        <w:spacing w:line="240" w:lineRule="auto"/>
        <w:jc w:val="both"/>
        <w:rPr>
          <w:rFonts w:ascii="Verdana" w:eastAsia="Cambria" w:hAnsi="Verdana" w:cs="Times New Roman"/>
          <w:color w:val="7030A0"/>
        </w:rPr>
      </w:pPr>
    </w:p>
    <w:p w14:paraId="4A974D8B" w14:textId="77777777" w:rsidR="008A198F" w:rsidRDefault="008A198F" w:rsidP="001F0B15">
      <w:pPr>
        <w:spacing w:line="240" w:lineRule="auto"/>
        <w:jc w:val="both"/>
        <w:rPr>
          <w:rFonts w:ascii="Verdana" w:eastAsia="Cambria" w:hAnsi="Verdana" w:cs="Times New Roman"/>
          <w:color w:val="7030A0"/>
        </w:rPr>
      </w:pPr>
    </w:p>
    <w:p w14:paraId="2986A012" w14:textId="77777777" w:rsidR="008A198F" w:rsidRDefault="008A198F" w:rsidP="001F0B15">
      <w:pPr>
        <w:spacing w:line="240" w:lineRule="auto"/>
        <w:jc w:val="both"/>
        <w:rPr>
          <w:rFonts w:ascii="Verdana" w:eastAsia="Cambria" w:hAnsi="Verdana" w:cs="Times New Roman"/>
          <w:color w:val="7030A0"/>
        </w:rPr>
      </w:pPr>
    </w:p>
    <w:p w14:paraId="2CB78C76" w14:textId="77777777" w:rsidR="008A198F" w:rsidRDefault="008A198F" w:rsidP="001F0B15">
      <w:pPr>
        <w:spacing w:line="240" w:lineRule="auto"/>
        <w:jc w:val="both"/>
        <w:rPr>
          <w:rFonts w:ascii="Verdana" w:eastAsia="Cambria" w:hAnsi="Verdana" w:cs="Times New Roman"/>
          <w:color w:val="7030A0"/>
        </w:rPr>
      </w:pPr>
    </w:p>
    <w:p w14:paraId="18944E01" w14:textId="77777777" w:rsidR="008A198F" w:rsidRDefault="008A198F" w:rsidP="001F0B15">
      <w:pPr>
        <w:spacing w:line="240" w:lineRule="auto"/>
        <w:jc w:val="both"/>
        <w:rPr>
          <w:rFonts w:ascii="Verdana" w:eastAsia="Cambria" w:hAnsi="Verdana" w:cs="Times New Roman"/>
          <w:color w:val="7030A0"/>
        </w:rPr>
      </w:pPr>
    </w:p>
    <w:p w14:paraId="0C814C9D" w14:textId="77777777" w:rsidR="008A198F" w:rsidRDefault="008A198F" w:rsidP="001F0B15">
      <w:pPr>
        <w:spacing w:line="240" w:lineRule="auto"/>
        <w:jc w:val="both"/>
        <w:rPr>
          <w:rFonts w:ascii="Verdana" w:eastAsia="Cambria" w:hAnsi="Verdana" w:cs="Times New Roman"/>
          <w:color w:val="7030A0"/>
        </w:rPr>
      </w:pPr>
    </w:p>
    <w:p w14:paraId="5764EB1D" w14:textId="77777777" w:rsidR="008A198F" w:rsidRDefault="008A198F" w:rsidP="001F0B15">
      <w:pPr>
        <w:spacing w:line="240" w:lineRule="auto"/>
        <w:jc w:val="both"/>
        <w:rPr>
          <w:rFonts w:ascii="Verdana" w:eastAsia="Cambria" w:hAnsi="Verdana" w:cs="Times New Roman"/>
          <w:color w:val="7030A0"/>
        </w:rPr>
      </w:pPr>
    </w:p>
    <w:p w14:paraId="559CADB2" w14:textId="77777777" w:rsidR="008A198F" w:rsidRDefault="008A198F" w:rsidP="001F0B15">
      <w:pPr>
        <w:spacing w:line="240" w:lineRule="auto"/>
        <w:jc w:val="both"/>
        <w:rPr>
          <w:rFonts w:ascii="Verdana" w:eastAsia="Cambria" w:hAnsi="Verdana" w:cs="Times New Roman"/>
          <w:color w:val="7030A0"/>
        </w:rPr>
      </w:pPr>
    </w:p>
    <w:p w14:paraId="76C070A9" w14:textId="77777777" w:rsidR="008A198F" w:rsidRDefault="008A198F" w:rsidP="001F0B15">
      <w:pPr>
        <w:spacing w:line="240" w:lineRule="auto"/>
        <w:jc w:val="both"/>
        <w:rPr>
          <w:rFonts w:ascii="Verdana" w:eastAsia="Cambria" w:hAnsi="Verdana" w:cs="Times New Roman"/>
          <w:color w:val="7030A0"/>
        </w:rPr>
      </w:pPr>
    </w:p>
    <w:p w14:paraId="4FAEEBEB" w14:textId="77777777" w:rsidR="008A198F" w:rsidRDefault="008A198F" w:rsidP="001F0B15">
      <w:pPr>
        <w:spacing w:line="240" w:lineRule="auto"/>
        <w:jc w:val="both"/>
        <w:rPr>
          <w:rFonts w:ascii="Verdana" w:eastAsia="Cambria" w:hAnsi="Verdana" w:cs="Times New Roman"/>
          <w:color w:val="7030A0"/>
        </w:rPr>
      </w:pPr>
    </w:p>
    <w:p w14:paraId="049D7F33" w14:textId="77777777" w:rsidR="008A198F" w:rsidRDefault="008A198F" w:rsidP="001F0B15">
      <w:pPr>
        <w:spacing w:line="240" w:lineRule="auto"/>
        <w:jc w:val="both"/>
        <w:rPr>
          <w:rFonts w:ascii="Verdana" w:eastAsia="Cambria" w:hAnsi="Verdana" w:cs="Times New Roman"/>
          <w:color w:val="7030A0"/>
        </w:rPr>
      </w:pPr>
    </w:p>
    <w:p w14:paraId="29257F6D" w14:textId="77777777" w:rsidR="008A198F" w:rsidRDefault="008A198F" w:rsidP="001F0B15">
      <w:pPr>
        <w:spacing w:line="240" w:lineRule="auto"/>
        <w:jc w:val="both"/>
        <w:rPr>
          <w:rFonts w:ascii="Verdana" w:eastAsia="Cambria" w:hAnsi="Verdana" w:cs="Times New Roman"/>
          <w:color w:val="7030A0"/>
        </w:rPr>
      </w:pPr>
    </w:p>
    <w:p w14:paraId="1E963F68" w14:textId="77777777" w:rsidR="008A198F" w:rsidRDefault="008A198F" w:rsidP="001F0B15">
      <w:pPr>
        <w:spacing w:line="240" w:lineRule="auto"/>
        <w:jc w:val="both"/>
        <w:rPr>
          <w:rFonts w:ascii="Verdana" w:eastAsia="Cambria" w:hAnsi="Verdana" w:cs="Times New Roman"/>
          <w:color w:val="7030A0"/>
        </w:rPr>
      </w:pPr>
    </w:p>
    <w:p w14:paraId="050B4536" w14:textId="77777777" w:rsidR="008A198F" w:rsidRDefault="008A198F" w:rsidP="001F0B15">
      <w:pPr>
        <w:spacing w:line="240" w:lineRule="auto"/>
        <w:jc w:val="both"/>
        <w:rPr>
          <w:rFonts w:ascii="Verdana" w:eastAsia="Cambria" w:hAnsi="Verdana" w:cs="Times New Roman"/>
          <w:color w:val="7030A0"/>
        </w:rPr>
      </w:pPr>
    </w:p>
    <w:p w14:paraId="1C6AE696" w14:textId="77777777" w:rsidR="008A198F" w:rsidRPr="00861B80" w:rsidRDefault="00861B80" w:rsidP="00C658D2">
      <w:pPr>
        <w:spacing w:line="240" w:lineRule="auto"/>
        <w:jc w:val="center"/>
        <w:rPr>
          <w:rFonts w:ascii="Verdana" w:eastAsia="Cambria" w:hAnsi="Verdana" w:cs="Times New Roman"/>
          <w:b/>
          <w:color w:val="7030A0"/>
          <w:sz w:val="36"/>
          <w:szCs w:val="36"/>
        </w:rPr>
      </w:pPr>
      <w:r w:rsidRPr="00861B80">
        <w:rPr>
          <w:rFonts w:ascii="Verdana" w:eastAsia="Cambria" w:hAnsi="Verdana" w:cs="Times New Roman"/>
          <w:b/>
          <w:color w:val="7030A0"/>
          <w:sz w:val="36"/>
          <w:szCs w:val="36"/>
        </w:rPr>
        <w:t>POROČILO O DELU IN POSLOVANJU NACIONALNE AGENCIJE ZA KAKOVOST V VISOKEM ŠOLSTVU V LETU 2018</w:t>
      </w:r>
    </w:p>
    <w:p w14:paraId="4C1CC449" w14:textId="77777777" w:rsidR="008A198F" w:rsidRDefault="008A198F" w:rsidP="001F0B15">
      <w:pPr>
        <w:spacing w:line="240" w:lineRule="auto"/>
        <w:jc w:val="both"/>
        <w:rPr>
          <w:rFonts w:ascii="Verdana" w:eastAsia="Cambria" w:hAnsi="Verdana" w:cs="Times New Roman"/>
          <w:color w:val="7030A0"/>
        </w:rPr>
      </w:pPr>
    </w:p>
    <w:p w14:paraId="06A2FC6A" w14:textId="77777777" w:rsidR="008A198F" w:rsidRDefault="008A198F" w:rsidP="001F0B15">
      <w:pPr>
        <w:spacing w:line="240" w:lineRule="auto"/>
        <w:jc w:val="both"/>
        <w:rPr>
          <w:rFonts w:ascii="Verdana" w:eastAsia="Cambria" w:hAnsi="Verdana" w:cs="Times New Roman"/>
          <w:color w:val="7030A0"/>
        </w:rPr>
      </w:pPr>
    </w:p>
    <w:p w14:paraId="35BA2475" w14:textId="77777777" w:rsidR="008A198F" w:rsidRDefault="008A198F" w:rsidP="001F0B15">
      <w:pPr>
        <w:spacing w:line="240" w:lineRule="auto"/>
        <w:jc w:val="both"/>
        <w:rPr>
          <w:rFonts w:ascii="Verdana" w:eastAsia="Cambria" w:hAnsi="Verdana" w:cs="Times New Roman"/>
          <w:color w:val="7030A0"/>
        </w:rPr>
      </w:pPr>
    </w:p>
    <w:p w14:paraId="41156DF4" w14:textId="77777777" w:rsidR="008A198F" w:rsidRDefault="008A198F" w:rsidP="001F0B15">
      <w:pPr>
        <w:spacing w:line="240" w:lineRule="auto"/>
        <w:jc w:val="both"/>
        <w:rPr>
          <w:rFonts w:ascii="Verdana" w:eastAsia="Cambria" w:hAnsi="Verdana" w:cs="Times New Roman"/>
          <w:color w:val="7030A0"/>
        </w:rPr>
      </w:pPr>
    </w:p>
    <w:p w14:paraId="6E27EE1F" w14:textId="77777777" w:rsidR="008A198F" w:rsidRDefault="008A198F" w:rsidP="001F0B15">
      <w:pPr>
        <w:spacing w:line="240" w:lineRule="auto"/>
        <w:jc w:val="both"/>
        <w:rPr>
          <w:rFonts w:ascii="Verdana" w:eastAsia="Cambria" w:hAnsi="Verdana" w:cs="Times New Roman"/>
          <w:color w:val="7030A0"/>
        </w:rPr>
      </w:pPr>
    </w:p>
    <w:p w14:paraId="0CE71C37" w14:textId="77777777" w:rsidR="008A198F" w:rsidRDefault="008A198F" w:rsidP="001F0B15">
      <w:pPr>
        <w:spacing w:line="240" w:lineRule="auto"/>
        <w:jc w:val="both"/>
        <w:rPr>
          <w:rFonts w:ascii="Verdana" w:eastAsia="Cambria" w:hAnsi="Verdana" w:cs="Times New Roman"/>
          <w:color w:val="7030A0"/>
        </w:rPr>
      </w:pPr>
    </w:p>
    <w:p w14:paraId="193234B0" w14:textId="77777777" w:rsidR="008A198F" w:rsidRDefault="008A198F" w:rsidP="001F0B15">
      <w:pPr>
        <w:spacing w:line="240" w:lineRule="auto"/>
        <w:jc w:val="both"/>
        <w:rPr>
          <w:rFonts w:ascii="Verdana" w:eastAsia="Cambria" w:hAnsi="Verdana" w:cs="Times New Roman"/>
          <w:color w:val="7030A0"/>
        </w:rPr>
      </w:pPr>
    </w:p>
    <w:p w14:paraId="361BFB16" w14:textId="77777777" w:rsidR="008A198F" w:rsidRDefault="008A198F" w:rsidP="001F0B15">
      <w:pPr>
        <w:spacing w:line="240" w:lineRule="auto"/>
        <w:jc w:val="both"/>
        <w:rPr>
          <w:rFonts w:ascii="Verdana" w:eastAsia="Cambria" w:hAnsi="Verdana" w:cs="Times New Roman"/>
          <w:color w:val="7030A0"/>
        </w:rPr>
      </w:pPr>
    </w:p>
    <w:p w14:paraId="6A7C48D7" w14:textId="77777777" w:rsidR="008A198F" w:rsidRDefault="008A198F" w:rsidP="001F0B15">
      <w:pPr>
        <w:spacing w:line="240" w:lineRule="auto"/>
        <w:jc w:val="both"/>
        <w:rPr>
          <w:rFonts w:ascii="Verdana" w:eastAsia="Cambria" w:hAnsi="Verdana" w:cs="Times New Roman"/>
          <w:color w:val="7030A0"/>
        </w:rPr>
      </w:pPr>
    </w:p>
    <w:p w14:paraId="3D0355BE" w14:textId="77777777" w:rsidR="008A198F" w:rsidRDefault="008A198F" w:rsidP="001F0B15">
      <w:pPr>
        <w:spacing w:line="240" w:lineRule="auto"/>
        <w:jc w:val="both"/>
        <w:rPr>
          <w:rFonts w:ascii="Verdana" w:eastAsia="Cambria" w:hAnsi="Verdana" w:cs="Times New Roman"/>
          <w:color w:val="7030A0"/>
        </w:rPr>
      </w:pPr>
    </w:p>
    <w:p w14:paraId="43FD3A9B" w14:textId="77777777" w:rsidR="008A198F" w:rsidRDefault="008A198F" w:rsidP="001F0B15">
      <w:pPr>
        <w:spacing w:line="240" w:lineRule="auto"/>
        <w:jc w:val="both"/>
        <w:rPr>
          <w:rFonts w:ascii="Verdana" w:eastAsia="Cambria" w:hAnsi="Verdana" w:cs="Times New Roman"/>
          <w:color w:val="7030A0"/>
        </w:rPr>
      </w:pPr>
    </w:p>
    <w:p w14:paraId="64BE2B51" w14:textId="77777777" w:rsidR="008A198F" w:rsidRDefault="008A198F" w:rsidP="001F0B15">
      <w:pPr>
        <w:spacing w:line="240" w:lineRule="auto"/>
        <w:jc w:val="both"/>
        <w:rPr>
          <w:rFonts w:ascii="Verdana" w:eastAsia="Cambria" w:hAnsi="Verdana" w:cs="Times New Roman"/>
          <w:color w:val="7030A0"/>
        </w:rPr>
      </w:pPr>
    </w:p>
    <w:p w14:paraId="6E90A88D" w14:textId="77777777" w:rsidR="008A198F" w:rsidRDefault="008A198F" w:rsidP="001F0B15">
      <w:pPr>
        <w:spacing w:line="240" w:lineRule="auto"/>
        <w:jc w:val="both"/>
        <w:rPr>
          <w:rFonts w:ascii="Verdana" w:eastAsia="Cambria" w:hAnsi="Verdana" w:cs="Times New Roman"/>
          <w:color w:val="7030A0"/>
        </w:rPr>
      </w:pPr>
    </w:p>
    <w:p w14:paraId="3E9F192A" w14:textId="77777777" w:rsidR="00082164" w:rsidRPr="006E2B4C" w:rsidRDefault="00082164" w:rsidP="00082164">
      <w:pPr>
        <w:spacing w:after="0"/>
        <w:rPr>
          <w:rFonts w:ascii="Verdana" w:hAnsi="Verdana"/>
          <w:sz w:val="28"/>
          <w:szCs w:val="28"/>
        </w:rPr>
      </w:pPr>
      <w:r w:rsidRPr="006E2B4C">
        <w:rPr>
          <w:rFonts w:ascii="Verdana" w:hAnsi="Verdana"/>
          <w:b/>
        </w:rPr>
        <w:lastRenderedPageBreak/>
        <w:t>Uvodna beseda</w:t>
      </w:r>
    </w:p>
    <w:p w14:paraId="7895487B" w14:textId="77777777" w:rsidR="00082164" w:rsidRPr="006E2B4C" w:rsidRDefault="00082164" w:rsidP="00082164">
      <w:pPr>
        <w:spacing w:after="0"/>
        <w:ind w:left="992" w:hanging="992"/>
        <w:rPr>
          <w:rFonts w:ascii="Verdana" w:hAnsi="Verdana" w:cs="Calibri"/>
        </w:rPr>
      </w:pPr>
    </w:p>
    <w:p w14:paraId="120A89ED" w14:textId="7E14E550" w:rsidR="000B53B8" w:rsidRDefault="00EE633E" w:rsidP="00EE633E">
      <w:pPr>
        <w:spacing w:after="0"/>
        <w:jc w:val="both"/>
        <w:rPr>
          <w:rFonts w:ascii="Verdana" w:hAnsi="Verdana" w:cs="Calibri"/>
        </w:rPr>
      </w:pPr>
      <w:r w:rsidRPr="00F20BDA">
        <w:rPr>
          <w:rFonts w:ascii="Verdana" w:hAnsi="Verdana" w:cs="Calibri"/>
        </w:rPr>
        <w:t>Zaradi zamenjav</w:t>
      </w:r>
      <w:r>
        <w:rPr>
          <w:rFonts w:ascii="Verdana" w:hAnsi="Verdana" w:cs="Calibri"/>
        </w:rPr>
        <w:t>e</w:t>
      </w:r>
      <w:r w:rsidRPr="00F20BDA">
        <w:rPr>
          <w:rFonts w:ascii="Verdana" w:hAnsi="Verdana" w:cs="Calibri"/>
        </w:rPr>
        <w:t xml:space="preserve"> vodstva </w:t>
      </w:r>
      <w:r>
        <w:rPr>
          <w:rFonts w:ascii="Verdana" w:hAnsi="Verdana" w:cs="Calibri"/>
        </w:rPr>
        <w:t>Nacionalne agencije Republike Slovenije za kakovost v visokem šolstvu (v nadaljevanju: agencija)</w:t>
      </w:r>
      <w:r w:rsidRPr="00F20BDA">
        <w:rPr>
          <w:rFonts w:ascii="Verdana" w:hAnsi="Verdana" w:cs="Calibri"/>
        </w:rPr>
        <w:t xml:space="preserve"> </w:t>
      </w:r>
      <w:r>
        <w:rPr>
          <w:rFonts w:ascii="Verdana" w:hAnsi="Verdana" w:cs="Calibri"/>
        </w:rPr>
        <w:t>aprila</w:t>
      </w:r>
      <w:r w:rsidRPr="00F20BDA">
        <w:rPr>
          <w:rFonts w:ascii="Verdana" w:hAnsi="Verdana" w:cs="Calibri"/>
        </w:rPr>
        <w:t xml:space="preserve"> </w:t>
      </w:r>
      <w:r>
        <w:rPr>
          <w:rFonts w:ascii="Verdana" w:hAnsi="Verdana" w:cs="Calibri"/>
        </w:rPr>
        <w:t xml:space="preserve">leta </w:t>
      </w:r>
      <w:r w:rsidRPr="00F20BDA">
        <w:rPr>
          <w:rFonts w:ascii="Verdana" w:hAnsi="Verdana" w:cs="Calibri"/>
        </w:rPr>
        <w:t>201</w:t>
      </w:r>
      <w:r>
        <w:rPr>
          <w:rFonts w:ascii="Verdana" w:hAnsi="Verdana" w:cs="Calibri"/>
        </w:rPr>
        <w:t>8</w:t>
      </w:r>
      <w:r w:rsidRPr="00F20BDA">
        <w:rPr>
          <w:rFonts w:ascii="Verdana" w:hAnsi="Verdana" w:cs="Calibri"/>
        </w:rPr>
        <w:t xml:space="preserve"> je </w:t>
      </w:r>
      <w:r>
        <w:rPr>
          <w:rFonts w:ascii="Verdana" w:hAnsi="Verdana" w:cs="Calibri"/>
        </w:rPr>
        <w:t>bil</w:t>
      </w:r>
      <w:r w:rsidRPr="00F20BDA">
        <w:rPr>
          <w:rFonts w:ascii="Verdana" w:hAnsi="Verdana" w:cs="Calibri"/>
        </w:rPr>
        <w:t xml:space="preserve"> delovn</w:t>
      </w:r>
      <w:r>
        <w:rPr>
          <w:rFonts w:ascii="Verdana" w:hAnsi="Verdana" w:cs="Calibri"/>
        </w:rPr>
        <w:t>i</w:t>
      </w:r>
      <w:r w:rsidRPr="00F20BDA">
        <w:rPr>
          <w:rFonts w:ascii="Verdana" w:hAnsi="Verdana" w:cs="Calibri"/>
        </w:rPr>
        <w:t xml:space="preserve"> in finančn</w:t>
      </w:r>
      <w:r>
        <w:rPr>
          <w:rFonts w:ascii="Verdana" w:hAnsi="Verdana" w:cs="Calibri"/>
        </w:rPr>
        <w:t>i</w:t>
      </w:r>
      <w:r w:rsidRPr="00F20BDA">
        <w:rPr>
          <w:rFonts w:ascii="Verdana" w:hAnsi="Verdana" w:cs="Calibri"/>
        </w:rPr>
        <w:t xml:space="preserve"> načrt za leto 201</w:t>
      </w:r>
      <w:r>
        <w:rPr>
          <w:rFonts w:ascii="Verdana" w:hAnsi="Verdana" w:cs="Calibri"/>
        </w:rPr>
        <w:t>8</w:t>
      </w:r>
      <w:r w:rsidRPr="00F20BDA">
        <w:rPr>
          <w:rFonts w:ascii="Verdana" w:hAnsi="Verdana" w:cs="Calibri"/>
        </w:rPr>
        <w:t xml:space="preserve"> </w:t>
      </w:r>
      <w:r w:rsidR="00003330">
        <w:rPr>
          <w:rFonts w:ascii="Verdana" w:hAnsi="Verdana" w:cs="Calibri"/>
        </w:rPr>
        <w:t>(v nadaljevanju LDN</w:t>
      </w:r>
      <w:r w:rsidR="000B53B8">
        <w:rPr>
          <w:rFonts w:ascii="Verdana" w:hAnsi="Verdana" w:cs="Calibri"/>
        </w:rPr>
        <w:t xml:space="preserve">) </w:t>
      </w:r>
      <w:r>
        <w:rPr>
          <w:rFonts w:ascii="Verdana" w:hAnsi="Verdana" w:cs="Calibri"/>
        </w:rPr>
        <w:t xml:space="preserve">sprejet šele septembra. </w:t>
      </w:r>
      <w:r w:rsidRPr="00F20BDA">
        <w:rPr>
          <w:rFonts w:ascii="Verdana" w:hAnsi="Verdana" w:cs="Calibri"/>
        </w:rPr>
        <w:t xml:space="preserve">Kljub temu je </w:t>
      </w:r>
      <w:r>
        <w:rPr>
          <w:rFonts w:ascii="Verdana" w:hAnsi="Verdana" w:cs="Calibri"/>
        </w:rPr>
        <w:t>delo intenzivno potekalo vse leto</w:t>
      </w:r>
      <w:r w:rsidR="00885565">
        <w:rPr>
          <w:rFonts w:ascii="Verdana" w:hAnsi="Verdana" w:cs="Calibri"/>
        </w:rPr>
        <w:t>;</w:t>
      </w:r>
      <w:r>
        <w:rPr>
          <w:rFonts w:ascii="Verdana" w:hAnsi="Verdana" w:cs="Calibri"/>
        </w:rPr>
        <w:t xml:space="preserve"> </w:t>
      </w:r>
      <w:r w:rsidR="002B63CF">
        <w:rPr>
          <w:rFonts w:ascii="Verdana" w:hAnsi="Verdana" w:cs="Calibri"/>
        </w:rPr>
        <w:t>v prvi polovici</w:t>
      </w:r>
      <w:r>
        <w:rPr>
          <w:rFonts w:ascii="Verdana" w:hAnsi="Verdana" w:cs="Calibri"/>
        </w:rPr>
        <w:t xml:space="preserve"> leta </w:t>
      </w:r>
      <w:r w:rsidR="000B53B8">
        <w:rPr>
          <w:rFonts w:ascii="Verdana" w:hAnsi="Verdana" w:cs="Calibri"/>
        </w:rPr>
        <w:t xml:space="preserve">samoevalvacija agencije in </w:t>
      </w:r>
      <w:r w:rsidR="006D793E">
        <w:rPr>
          <w:rFonts w:ascii="Verdana" w:hAnsi="Verdana" w:cs="Calibri"/>
        </w:rPr>
        <w:t xml:space="preserve">izdelava samoevalvacijskega </w:t>
      </w:r>
      <w:r w:rsidR="000B53B8">
        <w:rPr>
          <w:rFonts w:ascii="Verdana" w:hAnsi="Verdana" w:cs="Calibri"/>
        </w:rPr>
        <w:t>poročil</w:t>
      </w:r>
      <w:r w:rsidR="006D793E">
        <w:rPr>
          <w:rFonts w:ascii="Verdana" w:hAnsi="Verdana" w:cs="Calibri"/>
        </w:rPr>
        <w:t>a</w:t>
      </w:r>
      <w:r w:rsidR="000B53B8">
        <w:rPr>
          <w:rFonts w:ascii="Verdana" w:hAnsi="Verdana" w:cs="Calibri"/>
        </w:rPr>
        <w:t xml:space="preserve"> za leti 2016 in 2017</w:t>
      </w:r>
      <w:r>
        <w:rPr>
          <w:rFonts w:ascii="Verdana" w:hAnsi="Verdana" w:cs="Calibri"/>
        </w:rPr>
        <w:t xml:space="preserve">, priprava </w:t>
      </w:r>
      <w:r w:rsidR="000B53B8">
        <w:rPr>
          <w:rFonts w:ascii="Verdana" w:hAnsi="Verdana" w:cs="Calibri"/>
        </w:rPr>
        <w:t xml:space="preserve">na zunanjo evalvacijo agencije zaradi podaljšanja članstva v </w:t>
      </w:r>
      <w:r w:rsidR="006D793E" w:rsidRPr="00F20BDA">
        <w:rPr>
          <w:rFonts w:ascii="Verdana" w:hAnsi="Verdana"/>
        </w:rPr>
        <w:t>evropski mreži agencij za zagotavljanje kakovosti v visokem šolstvu (</w:t>
      </w:r>
      <w:proofErr w:type="spellStart"/>
      <w:r w:rsidR="006D793E" w:rsidRPr="00F20BDA">
        <w:rPr>
          <w:rFonts w:ascii="Verdana" w:hAnsi="Verdana"/>
        </w:rPr>
        <w:t>European</w:t>
      </w:r>
      <w:proofErr w:type="spellEnd"/>
      <w:r w:rsidR="006D793E" w:rsidRPr="00F20BDA">
        <w:rPr>
          <w:rFonts w:ascii="Verdana" w:hAnsi="Verdana"/>
        </w:rPr>
        <w:t xml:space="preserve"> </w:t>
      </w:r>
      <w:proofErr w:type="spellStart"/>
      <w:r w:rsidR="006D793E" w:rsidRPr="00F20BDA">
        <w:rPr>
          <w:rFonts w:ascii="Verdana" w:hAnsi="Verdana"/>
        </w:rPr>
        <w:t>Association</w:t>
      </w:r>
      <w:proofErr w:type="spellEnd"/>
      <w:r w:rsidR="006D793E" w:rsidRPr="00F20BDA">
        <w:rPr>
          <w:rFonts w:ascii="Verdana" w:hAnsi="Verdana"/>
        </w:rPr>
        <w:t xml:space="preserve"> </w:t>
      </w:r>
      <w:proofErr w:type="spellStart"/>
      <w:r w:rsidR="006D793E" w:rsidRPr="00F20BDA">
        <w:rPr>
          <w:rFonts w:ascii="Verdana" w:hAnsi="Verdana"/>
        </w:rPr>
        <w:t>for</w:t>
      </w:r>
      <w:proofErr w:type="spellEnd"/>
      <w:r w:rsidR="006D793E" w:rsidRPr="00F20BDA">
        <w:rPr>
          <w:rFonts w:ascii="Verdana" w:hAnsi="Verdana"/>
        </w:rPr>
        <w:t xml:space="preserve"> </w:t>
      </w:r>
      <w:proofErr w:type="spellStart"/>
      <w:r w:rsidR="006D793E" w:rsidRPr="00F20BDA">
        <w:rPr>
          <w:rFonts w:ascii="Verdana" w:hAnsi="Verdana"/>
        </w:rPr>
        <w:t>Quality</w:t>
      </w:r>
      <w:proofErr w:type="spellEnd"/>
      <w:r w:rsidR="006D793E" w:rsidRPr="00F20BDA">
        <w:rPr>
          <w:rFonts w:ascii="Verdana" w:hAnsi="Verdana"/>
        </w:rPr>
        <w:t xml:space="preserve"> </w:t>
      </w:r>
      <w:proofErr w:type="spellStart"/>
      <w:r w:rsidR="006D793E" w:rsidRPr="00F20BDA">
        <w:rPr>
          <w:rFonts w:ascii="Verdana" w:hAnsi="Verdana"/>
        </w:rPr>
        <w:t>Assurance</w:t>
      </w:r>
      <w:proofErr w:type="spellEnd"/>
      <w:r w:rsidR="006D793E" w:rsidRPr="00F20BDA">
        <w:rPr>
          <w:rFonts w:ascii="Verdana" w:hAnsi="Verdana"/>
        </w:rPr>
        <w:t xml:space="preserve"> in </w:t>
      </w:r>
      <w:proofErr w:type="spellStart"/>
      <w:r w:rsidR="006D793E" w:rsidRPr="00F20BDA">
        <w:rPr>
          <w:rFonts w:ascii="Verdana" w:hAnsi="Verdana"/>
        </w:rPr>
        <w:t>Higher</w:t>
      </w:r>
      <w:proofErr w:type="spellEnd"/>
      <w:r w:rsidR="006D793E" w:rsidRPr="00F20BDA">
        <w:rPr>
          <w:rFonts w:ascii="Verdana" w:hAnsi="Verdana"/>
        </w:rPr>
        <w:t xml:space="preserve"> </w:t>
      </w:r>
      <w:proofErr w:type="spellStart"/>
      <w:r w:rsidR="006D793E" w:rsidRPr="00F20BDA">
        <w:rPr>
          <w:rFonts w:ascii="Verdana" w:hAnsi="Verdana"/>
        </w:rPr>
        <w:t>Education</w:t>
      </w:r>
      <w:proofErr w:type="spellEnd"/>
      <w:r w:rsidR="006D793E" w:rsidRPr="00F20BDA">
        <w:rPr>
          <w:rFonts w:ascii="Verdana" w:hAnsi="Verdana"/>
        </w:rPr>
        <w:t xml:space="preserve"> – ENQA)</w:t>
      </w:r>
      <w:r w:rsidR="006D793E" w:rsidRPr="00F20BDA">
        <w:rPr>
          <w:rFonts w:ascii="Verdana" w:hAnsi="Verdana" w:cs="Calibri"/>
        </w:rPr>
        <w:t xml:space="preserve"> in </w:t>
      </w:r>
      <w:r w:rsidR="006D793E">
        <w:rPr>
          <w:rFonts w:ascii="Verdana" w:hAnsi="Verdana" w:cs="Calibri"/>
        </w:rPr>
        <w:t xml:space="preserve">vpisa </w:t>
      </w:r>
      <w:r w:rsidR="006D793E" w:rsidRPr="0095541B">
        <w:rPr>
          <w:rFonts w:ascii="Verdana" w:hAnsi="Verdana"/>
        </w:rPr>
        <w:t xml:space="preserve">v </w:t>
      </w:r>
      <w:r w:rsidR="006D793E">
        <w:rPr>
          <w:rFonts w:ascii="Verdana" w:hAnsi="Verdana"/>
        </w:rPr>
        <w:t xml:space="preserve">evropski </w:t>
      </w:r>
      <w:r w:rsidR="006D793E" w:rsidRPr="0095541B">
        <w:rPr>
          <w:rFonts w:ascii="Verdana" w:hAnsi="Verdana"/>
        </w:rPr>
        <w:t>register agencij (</w:t>
      </w:r>
      <w:proofErr w:type="spellStart"/>
      <w:r w:rsidR="006D793E" w:rsidRPr="0095541B">
        <w:rPr>
          <w:rFonts w:ascii="Verdana" w:hAnsi="Verdana"/>
        </w:rPr>
        <w:t>European</w:t>
      </w:r>
      <w:proofErr w:type="spellEnd"/>
      <w:r w:rsidR="006D793E" w:rsidRPr="0095541B">
        <w:rPr>
          <w:rFonts w:ascii="Verdana" w:hAnsi="Verdana"/>
        </w:rPr>
        <w:t xml:space="preserve"> </w:t>
      </w:r>
      <w:proofErr w:type="spellStart"/>
      <w:r w:rsidR="006D793E" w:rsidRPr="0095541B">
        <w:rPr>
          <w:rFonts w:ascii="Verdana" w:hAnsi="Verdana"/>
        </w:rPr>
        <w:t>Quality</w:t>
      </w:r>
      <w:proofErr w:type="spellEnd"/>
      <w:r w:rsidR="006D793E" w:rsidRPr="0095541B">
        <w:rPr>
          <w:rFonts w:ascii="Verdana" w:hAnsi="Verdana"/>
        </w:rPr>
        <w:t xml:space="preserve"> </w:t>
      </w:r>
      <w:proofErr w:type="spellStart"/>
      <w:r w:rsidR="006D793E" w:rsidRPr="0095541B">
        <w:rPr>
          <w:rFonts w:ascii="Verdana" w:hAnsi="Verdana"/>
        </w:rPr>
        <w:t>Assurance</w:t>
      </w:r>
      <w:proofErr w:type="spellEnd"/>
      <w:r w:rsidR="006D793E" w:rsidRPr="0095541B">
        <w:rPr>
          <w:rFonts w:ascii="Verdana" w:hAnsi="Verdana"/>
        </w:rPr>
        <w:t xml:space="preserve"> Register </w:t>
      </w:r>
      <w:proofErr w:type="spellStart"/>
      <w:r w:rsidR="006D793E" w:rsidRPr="0095541B">
        <w:rPr>
          <w:rFonts w:ascii="Verdana" w:hAnsi="Verdana"/>
        </w:rPr>
        <w:t>for</w:t>
      </w:r>
      <w:proofErr w:type="spellEnd"/>
      <w:r w:rsidR="006D793E" w:rsidRPr="0095541B">
        <w:rPr>
          <w:rFonts w:ascii="Verdana" w:hAnsi="Verdana"/>
        </w:rPr>
        <w:t xml:space="preserve"> </w:t>
      </w:r>
      <w:proofErr w:type="spellStart"/>
      <w:r w:rsidR="006D793E" w:rsidRPr="0095541B">
        <w:rPr>
          <w:rFonts w:ascii="Verdana" w:hAnsi="Verdana"/>
        </w:rPr>
        <w:t>Higher</w:t>
      </w:r>
      <w:proofErr w:type="spellEnd"/>
      <w:r w:rsidR="006D793E" w:rsidRPr="0095541B">
        <w:rPr>
          <w:rFonts w:ascii="Verdana" w:hAnsi="Verdana"/>
        </w:rPr>
        <w:t xml:space="preserve"> </w:t>
      </w:r>
      <w:proofErr w:type="spellStart"/>
      <w:r w:rsidR="006D793E" w:rsidRPr="0095541B">
        <w:rPr>
          <w:rFonts w:ascii="Verdana" w:hAnsi="Verdana"/>
        </w:rPr>
        <w:t>Education</w:t>
      </w:r>
      <w:proofErr w:type="spellEnd"/>
      <w:r w:rsidR="006D793E" w:rsidRPr="0095541B">
        <w:rPr>
          <w:rFonts w:ascii="Verdana" w:hAnsi="Verdana"/>
        </w:rPr>
        <w:t xml:space="preserve"> – EQAR)</w:t>
      </w:r>
      <w:r w:rsidR="006D793E">
        <w:rPr>
          <w:rFonts w:ascii="Verdana" w:hAnsi="Verdana"/>
        </w:rPr>
        <w:t>,</w:t>
      </w:r>
      <w:r w:rsidR="000B53B8">
        <w:rPr>
          <w:rFonts w:ascii="Verdana" w:hAnsi="Verdana" w:cs="Calibri"/>
        </w:rPr>
        <w:t xml:space="preserve"> vzpostav</w:t>
      </w:r>
      <w:r w:rsidR="00DE6448">
        <w:rPr>
          <w:rFonts w:ascii="Verdana" w:hAnsi="Verdana" w:cs="Calibri"/>
        </w:rPr>
        <w:t>ljanje</w:t>
      </w:r>
      <w:r w:rsidR="000B53B8">
        <w:rPr>
          <w:rFonts w:ascii="Verdana" w:hAnsi="Verdana" w:cs="Calibri"/>
        </w:rPr>
        <w:t xml:space="preserve"> eNakvis za oddajanje vlog za akreditacijo in evalvacijo v skladu z novimi predpisi</w:t>
      </w:r>
      <w:r w:rsidR="006D793E">
        <w:rPr>
          <w:rFonts w:ascii="Verdana" w:hAnsi="Verdana" w:cs="Calibri"/>
        </w:rPr>
        <w:t xml:space="preserve"> ter</w:t>
      </w:r>
      <w:r>
        <w:rPr>
          <w:rFonts w:ascii="Verdana" w:hAnsi="Verdana" w:cs="Calibri"/>
        </w:rPr>
        <w:t xml:space="preserve"> temeljita reorganizacija dela</w:t>
      </w:r>
      <w:r w:rsidR="002B63CF">
        <w:rPr>
          <w:rFonts w:ascii="Verdana" w:hAnsi="Verdana" w:cs="Calibri"/>
        </w:rPr>
        <w:t xml:space="preserve"> agencije.</w:t>
      </w:r>
      <w:r>
        <w:rPr>
          <w:rFonts w:ascii="Verdana" w:hAnsi="Verdana" w:cs="Calibri"/>
        </w:rPr>
        <w:t xml:space="preserve"> </w:t>
      </w:r>
      <w:r w:rsidR="000B53B8">
        <w:rPr>
          <w:rFonts w:ascii="Verdana" w:hAnsi="Verdana" w:cs="Calibri"/>
        </w:rPr>
        <w:t xml:space="preserve"> </w:t>
      </w:r>
    </w:p>
    <w:p w14:paraId="395A0AA9" w14:textId="77777777" w:rsidR="000B53B8" w:rsidRDefault="000B53B8" w:rsidP="00EE633E">
      <w:pPr>
        <w:spacing w:after="0"/>
        <w:jc w:val="both"/>
        <w:rPr>
          <w:rFonts w:ascii="Verdana" w:hAnsi="Verdana" w:cs="Calibri"/>
        </w:rPr>
      </w:pPr>
    </w:p>
    <w:p w14:paraId="4E57CCC3" w14:textId="02AE2C3F" w:rsidR="00EE633E" w:rsidRPr="0095541B" w:rsidRDefault="006D793E" w:rsidP="00EE633E">
      <w:pPr>
        <w:spacing w:after="0"/>
        <w:jc w:val="both"/>
        <w:rPr>
          <w:rFonts w:ascii="Verdana" w:hAnsi="Verdana" w:cs="Calibri"/>
        </w:rPr>
      </w:pPr>
      <w:r>
        <w:rPr>
          <w:rFonts w:ascii="Verdana" w:hAnsi="Verdana" w:cs="Calibri"/>
        </w:rPr>
        <w:t>LDN 2018 je bil</w:t>
      </w:r>
      <w:r w:rsidR="00EE633E">
        <w:rPr>
          <w:rFonts w:ascii="Verdana" w:hAnsi="Verdana" w:cs="Calibri"/>
        </w:rPr>
        <w:t xml:space="preserve"> </w:t>
      </w:r>
      <w:r w:rsidR="00EE633E" w:rsidRPr="00F20BDA">
        <w:rPr>
          <w:rFonts w:ascii="Verdana" w:hAnsi="Verdana" w:cs="Calibri"/>
        </w:rPr>
        <w:t xml:space="preserve">zelo ambiciozen, saj </w:t>
      </w:r>
      <w:r w:rsidR="00EE633E">
        <w:rPr>
          <w:rFonts w:ascii="Verdana" w:hAnsi="Verdana" w:cs="Calibri"/>
        </w:rPr>
        <w:t>je</w:t>
      </w:r>
      <w:r w:rsidR="00EE633E" w:rsidRPr="00F20BDA">
        <w:rPr>
          <w:rFonts w:ascii="Verdana" w:hAnsi="Verdana" w:cs="Calibri"/>
        </w:rPr>
        <w:t xml:space="preserve"> morala agencija </w:t>
      </w:r>
      <w:r>
        <w:rPr>
          <w:rFonts w:ascii="Verdana" w:hAnsi="Verdana" w:cs="Calibri"/>
        </w:rPr>
        <w:t xml:space="preserve">poleg vseh nalog, ki si jih je postavila </w:t>
      </w:r>
      <w:r w:rsidR="002B63CF">
        <w:rPr>
          <w:rFonts w:ascii="Verdana" w:hAnsi="Verdana" w:cs="Calibri"/>
        </w:rPr>
        <w:t>do konca leta 2018</w:t>
      </w:r>
      <w:r>
        <w:rPr>
          <w:rFonts w:ascii="Verdana" w:hAnsi="Verdana" w:cs="Calibri"/>
        </w:rPr>
        <w:t xml:space="preserve">, odpraviti zaostanek pri </w:t>
      </w:r>
      <w:r w:rsidR="00EE633E" w:rsidRPr="00F20BDA">
        <w:rPr>
          <w:rFonts w:ascii="Verdana" w:hAnsi="Verdana" w:cs="Calibri"/>
        </w:rPr>
        <w:t>akreditacij</w:t>
      </w:r>
      <w:r>
        <w:rPr>
          <w:rFonts w:ascii="Verdana" w:hAnsi="Verdana" w:cs="Calibri"/>
        </w:rPr>
        <w:t>ah</w:t>
      </w:r>
      <w:r w:rsidR="00EE633E" w:rsidRPr="00F20BDA">
        <w:rPr>
          <w:rFonts w:ascii="Verdana" w:hAnsi="Verdana" w:cs="Calibri"/>
        </w:rPr>
        <w:t xml:space="preserve"> oziroma zunanjih evalvacij</w:t>
      </w:r>
      <w:r>
        <w:rPr>
          <w:rFonts w:ascii="Verdana" w:hAnsi="Verdana" w:cs="Calibri"/>
        </w:rPr>
        <w:t>ah</w:t>
      </w:r>
      <w:r w:rsidR="00EE633E" w:rsidRPr="00F20BDA">
        <w:rPr>
          <w:rFonts w:ascii="Verdana" w:hAnsi="Verdana" w:cs="Calibri"/>
        </w:rPr>
        <w:t xml:space="preserve"> visokošolskih zavodov, študijskih programov in višjih strokovnih šol</w:t>
      </w:r>
      <w:r>
        <w:rPr>
          <w:rFonts w:ascii="Verdana" w:hAnsi="Verdana" w:cs="Calibri"/>
        </w:rPr>
        <w:t xml:space="preserve"> po starih merilih</w:t>
      </w:r>
      <w:r w:rsidR="00613607">
        <w:rPr>
          <w:rFonts w:ascii="Verdana" w:hAnsi="Verdana" w:cs="Calibri"/>
        </w:rPr>
        <w:t>, zastoj akreditacijskih in evalvacijskih postopkov po</w:t>
      </w:r>
      <w:r>
        <w:rPr>
          <w:rFonts w:ascii="Verdana" w:hAnsi="Verdana" w:cs="Calibri"/>
        </w:rPr>
        <w:t xml:space="preserve"> novih </w:t>
      </w:r>
      <w:r w:rsidR="00613607">
        <w:rPr>
          <w:rFonts w:ascii="Verdana" w:hAnsi="Verdana" w:cs="Calibri"/>
        </w:rPr>
        <w:t xml:space="preserve">merilih </w:t>
      </w:r>
      <w:r>
        <w:rPr>
          <w:rFonts w:ascii="Verdana" w:hAnsi="Verdana" w:cs="Calibri"/>
        </w:rPr>
        <w:t>zaradi nedelujočega eNakvis</w:t>
      </w:r>
      <w:r w:rsidR="00E34A19">
        <w:rPr>
          <w:rFonts w:ascii="Verdana" w:hAnsi="Verdana" w:cs="Calibri"/>
        </w:rPr>
        <w:t>,</w:t>
      </w:r>
      <w:r w:rsidR="00EE633E">
        <w:rPr>
          <w:rFonts w:ascii="Verdana" w:hAnsi="Verdana" w:cs="Calibri"/>
        </w:rPr>
        <w:t xml:space="preserve"> reorganiz</w:t>
      </w:r>
      <w:r w:rsidR="00E34A19">
        <w:rPr>
          <w:rFonts w:ascii="Verdana" w:hAnsi="Verdana" w:cs="Calibri"/>
        </w:rPr>
        <w:t>irati</w:t>
      </w:r>
      <w:r w:rsidR="00EE633E">
        <w:rPr>
          <w:rFonts w:ascii="Verdana" w:hAnsi="Verdana" w:cs="Calibri"/>
        </w:rPr>
        <w:t xml:space="preserve"> svoje del</w:t>
      </w:r>
      <w:r w:rsidR="00E34A19">
        <w:rPr>
          <w:rFonts w:ascii="Verdana" w:hAnsi="Verdana" w:cs="Calibri"/>
        </w:rPr>
        <w:t>o</w:t>
      </w:r>
      <w:r w:rsidR="00375D65">
        <w:rPr>
          <w:rFonts w:ascii="Verdana" w:hAnsi="Verdana" w:cs="Calibri"/>
        </w:rPr>
        <w:t>, uskladiti delovanje</w:t>
      </w:r>
      <w:r w:rsidR="00E34A19">
        <w:rPr>
          <w:rFonts w:ascii="Verdana" w:hAnsi="Verdana" w:cs="Calibri"/>
        </w:rPr>
        <w:t xml:space="preserve"> </w:t>
      </w:r>
      <w:r w:rsidR="00375D65">
        <w:rPr>
          <w:rFonts w:ascii="Verdana" w:hAnsi="Verdana" w:cs="Calibri"/>
        </w:rPr>
        <w:t xml:space="preserve">v skladu s Splošno uredbo o varstvu osebnih podatkov (GDPR) </w:t>
      </w:r>
      <w:r w:rsidR="00E34A19">
        <w:rPr>
          <w:rFonts w:ascii="Verdana" w:hAnsi="Verdana" w:cs="Calibri"/>
        </w:rPr>
        <w:t xml:space="preserve">ter sodelovati </w:t>
      </w:r>
      <w:r w:rsidR="00613607">
        <w:rPr>
          <w:rFonts w:ascii="Verdana" w:hAnsi="Verdana" w:cs="Calibri"/>
        </w:rPr>
        <w:t xml:space="preserve">s </w:t>
      </w:r>
      <w:r w:rsidR="00E34A19">
        <w:rPr>
          <w:rFonts w:ascii="Verdana" w:hAnsi="Verdana" w:cs="Calibri"/>
        </w:rPr>
        <w:t>skupin</w:t>
      </w:r>
      <w:r w:rsidR="00613607">
        <w:rPr>
          <w:rFonts w:ascii="Verdana" w:hAnsi="Verdana" w:cs="Calibri"/>
        </w:rPr>
        <w:t>o</w:t>
      </w:r>
      <w:r w:rsidR="00E34A19">
        <w:rPr>
          <w:rFonts w:ascii="Verdana" w:hAnsi="Verdana" w:cs="Calibri"/>
        </w:rPr>
        <w:t xml:space="preserve"> mednarodnih strokovnjakov</w:t>
      </w:r>
      <w:r w:rsidR="00613607">
        <w:rPr>
          <w:rFonts w:ascii="Verdana" w:hAnsi="Verdana" w:cs="Calibri"/>
        </w:rPr>
        <w:t xml:space="preserve"> ENQA</w:t>
      </w:r>
      <w:r w:rsidR="00E34A19">
        <w:rPr>
          <w:rFonts w:ascii="Verdana" w:hAnsi="Verdana" w:cs="Calibri"/>
        </w:rPr>
        <w:t xml:space="preserve">, ki </w:t>
      </w:r>
      <w:r w:rsidR="00613607">
        <w:rPr>
          <w:rFonts w:ascii="Verdana" w:hAnsi="Verdana" w:cs="Calibri"/>
        </w:rPr>
        <w:t>je</w:t>
      </w:r>
      <w:r w:rsidR="00E34A19">
        <w:rPr>
          <w:rFonts w:ascii="Verdana" w:hAnsi="Verdana" w:cs="Calibri"/>
        </w:rPr>
        <w:t xml:space="preserve"> junija</w:t>
      </w:r>
      <w:r w:rsidR="00DE6448">
        <w:rPr>
          <w:rFonts w:ascii="Verdana" w:hAnsi="Verdana" w:cs="Calibri"/>
        </w:rPr>
        <w:t xml:space="preserve"> 2018</w:t>
      </w:r>
      <w:r w:rsidR="00E34A19">
        <w:rPr>
          <w:rFonts w:ascii="Verdana" w:hAnsi="Verdana" w:cs="Calibri"/>
        </w:rPr>
        <w:t xml:space="preserve"> presojal</w:t>
      </w:r>
      <w:r w:rsidR="00613607">
        <w:rPr>
          <w:rFonts w:ascii="Verdana" w:hAnsi="Verdana" w:cs="Calibri"/>
        </w:rPr>
        <w:t>a</w:t>
      </w:r>
      <w:r w:rsidR="00E34A19">
        <w:rPr>
          <w:rFonts w:ascii="Verdana" w:hAnsi="Verdana" w:cs="Calibri"/>
        </w:rPr>
        <w:t xml:space="preserve"> notranji in zunanji sistem kakovosti agencije, njen</w:t>
      </w:r>
      <w:r w:rsidR="002B63CF">
        <w:rPr>
          <w:rFonts w:ascii="Verdana" w:hAnsi="Verdana" w:cs="Calibri"/>
        </w:rPr>
        <w:t>o</w:t>
      </w:r>
      <w:r w:rsidR="00E34A19">
        <w:rPr>
          <w:rFonts w:ascii="Verdana" w:hAnsi="Verdana" w:cs="Calibri"/>
        </w:rPr>
        <w:t xml:space="preserve"> neodvisnost oziroma, ali izpolnjuje standarde kakovosti, ki veljajo v evropskem visokošolskem prostoru </w:t>
      </w:r>
      <w:r w:rsidR="00E34A19" w:rsidRPr="00002987">
        <w:rPr>
          <w:rFonts w:ascii="Verdana" w:hAnsi="Verdana"/>
        </w:rPr>
        <w:t>(</w:t>
      </w:r>
      <w:proofErr w:type="spellStart"/>
      <w:r w:rsidR="00E34A19" w:rsidRPr="00002987">
        <w:rPr>
          <w:rFonts w:ascii="Verdana" w:hAnsi="Verdana"/>
        </w:rPr>
        <w:t>Standards</w:t>
      </w:r>
      <w:proofErr w:type="spellEnd"/>
      <w:r w:rsidR="00E34A19" w:rsidRPr="00002987">
        <w:rPr>
          <w:rFonts w:ascii="Verdana" w:hAnsi="Verdana"/>
        </w:rPr>
        <w:t xml:space="preserve"> </w:t>
      </w:r>
      <w:proofErr w:type="spellStart"/>
      <w:r w:rsidR="00E34A19" w:rsidRPr="00002987">
        <w:rPr>
          <w:rFonts w:ascii="Verdana" w:hAnsi="Verdana"/>
        </w:rPr>
        <w:t>and</w:t>
      </w:r>
      <w:proofErr w:type="spellEnd"/>
      <w:r w:rsidR="00E34A19" w:rsidRPr="00002987">
        <w:rPr>
          <w:rFonts w:ascii="Verdana" w:hAnsi="Verdana"/>
        </w:rPr>
        <w:t xml:space="preserve"> </w:t>
      </w:r>
      <w:proofErr w:type="spellStart"/>
      <w:r w:rsidR="00E34A19" w:rsidRPr="00002987">
        <w:rPr>
          <w:rFonts w:ascii="Verdana" w:hAnsi="Verdana"/>
        </w:rPr>
        <w:t>Guidelines</w:t>
      </w:r>
      <w:proofErr w:type="spellEnd"/>
      <w:r w:rsidR="00E34A19" w:rsidRPr="00002987">
        <w:rPr>
          <w:rFonts w:ascii="Verdana" w:hAnsi="Verdana"/>
        </w:rPr>
        <w:t xml:space="preserve"> </w:t>
      </w:r>
      <w:proofErr w:type="spellStart"/>
      <w:r w:rsidR="00E34A19" w:rsidRPr="00002987">
        <w:rPr>
          <w:rFonts w:ascii="Verdana" w:hAnsi="Verdana"/>
        </w:rPr>
        <w:t>for</w:t>
      </w:r>
      <w:proofErr w:type="spellEnd"/>
      <w:r w:rsidR="00E34A19" w:rsidRPr="00002987">
        <w:rPr>
          <w:rFonts w:ascii="Verdana" w:hAnsi="Verdana"/>
        </w:rPr>
        <w:t xml:space="preserve"> </w:t>
      </w:r>
      <w:proofErr w:type="spellStart"/>
      <w:r w:rsidR="00E34A19" w:rsidRPr="00002987">
        <w:rPr>
          <w:rFonts w:ascii="Verdana" w:hAnsi="Verdana"/>
        </w:rPr>
        <w:t>Quality</w:t>
      </w:r>
      <w:proofErr w:type="spellEnd"/>
      <w:r w:rsidR="00E34A19" w:rsidRPr="00002987">
        <w:rPr>
          <w:rFonts w:ascii="Verdana" w:hAnsi="Verdana"/>
        </w:rPr>
        <w:t xml:space="preserve"> </w:t>
      </w:r>
      <w:proofErr w:type="spellStart"/>
      <w:r w:rsidR="00E34A19" w:rsidRPr="00002987">
        <w:rPr>
          <w:rFonts w:ascii="Verdana" w:hAnsi="Verdana"/>
        </w:rPr>
        <w:t>Assurance</w:t>
      </w:r>
      <w:proofErr w:type="spellEnd"/>
      <w:r w:rsidR="00E34A19" w:rsidRPr="00002987">
        <w:rPr>
          <w:rFonts w:ascii="Verdana" w:hAnsi="Verdana"/>
        </w:rPr>
        <w:t xml:space="preserve"> in </w:t>
      </w:r>
      <w:proofErr w:type="spellStart"/>
      <w:r w:rsidR="00E34A19" w:rsidRPr="00002987">
        <w:rPr>
          <w:rFonts w:ascii="Verdana" w:hAnsi="Verdana"/>
        </w:rPr>
        <w:t>the</w:t>
      </w:r>
      <w:proofErr w:type="spellEnd"/>
      <w:r w:rsidR="00E34A19" w:rsidRPr="00002987">
        <w:rPr>
          <w:rFonts w:ascii="Verdana" w:hAnsi="Verdana"/>
        </w:rPr>
        <w:t xml:space="preserve"> </w:t>
      </w:r>
      <w:proofErr w:type="spellStart"/>
      <w:r w:rsidR="00E34A19" w:rsidRPr="00002987">
        <w:rPr>
          <w:rFonts w:ascii="Verdana" w:hAnsi="Verdana"/>
        </w:rPr>
        <w:t>European</w:t>
      </w:r>
      <w:proofErr w:type="spellEnd"/>
      <w:r w:rsidR="00E34A19" w:rsidRPr="00002987">
        <w:rPr>
          <w:rFonts w:ascii="Verdana" w:hAnsi="Verdana"/>
        </w:rPr>
        <w:t xml:space="preserve"> </w:t>
      </w:r>
      <w:proofErr w:type="spellStart"/>
      <w:r w:rsidR="00E34A19" w:rsidRPr="00002987">
        <w:rPr>
          <w:rFonts w:ascii="Verdana" w:hAnsi="Verdana"/>
        </w:rPr>
        <w:t>Higher</w:t>
      </w:r>
      <w:proofErr w:type="spellEnd"/>
      <w:r w:rsidR="00E34A19" w:rsidRPr="00002987">
        <w:rPr>
          <w:rFonts w:ascii="Verdana" w:hAnsi="Verdana"/>
        </w:rPr>
        <w:t xml:space="preserve"> </w:t>
      </w:r>
      <w:proofErr w:type="spellStart"/>
      <w:r w:rsidR="00E34A19" w:rsidRPr="00002987">
        <w:rPr>
          <w:rFonts w:ascii="Verdana" w:hAnsi="Verdana"/>
        </w:rPr>
        <w:t>Education</w:t>
      </w:r>
      <w:proofErr w:type="spellEnd"/>
      <w:r w:rsidR="00E34A19" w:rsidRPr="00002987">
        <w:rPr>
          <w:rFonts w:ascii="Verdana" w:hAnsi="Verdana"/>
        </w:rPr>
        <w:t xml:space="preserve"> </w:t>
      </w:r>
      <w:proofErr w:type="spellStart"/>
      <w:r w:rsidR="00E34A19" w:rsidRPr="00002987">
        <w:rPr>
          <w:rFonts w:ascii="Verdana" w:hAnsi="Verdana"/>
        </w:rPr>
        <w:t>Area</w:t>
      </w:r>
      <w:proofErr w:type="spellEnd"/>
      <w:r w:rsidR="00E34A19">
        <w:rPr>
          <w:rFonts w:ascii="Verdana" w:hAnsi="Verdana"/>
        </w:rPr>
        <w:t xml:space="preserve">; </w:t>
      </w:r>
      <w:r w:rsidR="00E34A19">
        <w:rPr>
          <w:rFonts w:ascii="Verdana" w:hAnsi="Verdana" w:cs="Calibri"/>
        </w:rPr>
        <w:t>v nadaljevanju: ESG).</w:t>
      </w:r>
      <w:r w:rsidR="00EE633E" w:rsidRPr="00F20BDA">
        <w:rPr>
          <w:rFonts w:ascii="Verdana" w:hAnsi="Verdana"/>
        </w:rPr>
        <w:t xml:space="preserve"> </w:t>
      </w:r>
    </w:p>
    <w:p w14:paraId="195726BD" w14:textId="77777777" w:rsidR="00082164" w:rsidRPr="00EE633E" w:rsidRDefault="00082164" w:rsidP="00082164">
      <w:pPr>
        <w:spacing w:after="0"/>
        <w:jc w:val="both"/>
        <w:rPr>
          <w:rFonts w:ascii="Verdana" w:hAnsi="Verdana" w:cs="Calibri"/>
        </w:rPr>
      </w:pPr>
    </w:p>
    <w:p w14:paraId="3F75E897" w14:textId="1460CB71" w:rsidR="00082164" w:rsidRPr="00EE633E" w:rsidRDefault="00E34A19" w:rsidP="00082164">
      <w:pPr>
        <w:spacing w:after="0"/>
        <w:jc w:val="both"/>
        <w:rPr>
          <w:rFonts w:ascii="Verdana" w:hAnsi="Verdana" w:cs="Calibri"/>
        </w:rPr>
      </w:pPr>
      <w:r>
        <w:rPr>
          <w:rFonts w:ascii="Verdana" w:hAnsi="Verdana" w:cs="Calibri"/>
        </w:rPr>
        <w:t xml:space="preserve">Kot </w:t>
      </w:r>
      <w:r w:rsidR="00613607">
        <w:rPr>
          <w:rFonts w:ascii="Verdana" w:hAnsi="Verdana" w:cs="Calibri"/>
        </w:rPr>
        <w:t>je</w:t>
      </w:r>
      <w:r>
        <w:rPr>
          <w:rFonts w:ascii="Verdana" w:hAnsi="Verdana" w:cs="Calibri"/>
        </w:rPr>
        <w:t xml:space="preserve"> razvidno v nadaljevanju, so bile naloge iz LDN</w:t>
      </w:r>
      <w:r w:rsidR="00082164" w:rsidRPr="00EE633E">
        <w:rPr>
          <w:rFonts w:ascii="Verdana" w:hAnsi="Verdana" w:cs="Calibri"/>
        </w:rPr>
        <w:t xml:space="preserve"> 2018 večinoma opravljene; uresničene so bile tudi </w:t>
      </w:r>
      <w:r w:rsidR="002B63CF">
        <w:rPr>
          <w:rFonts w:ascii="Verdana" w:hAnsi="Verdana" w:cs="Calibri"/>
        </w:rPr>
        <w:t>naloge</w:t>
      </w:r>
      <w:r w:rsidR="00082164" w:rsidRPr="00EE633E">
        <w:rPr>
          <w:rFonts w:ascii="Verdana" w:hAnsi="Verdana" w:cs="Calibri"/>
        </w:rPr>
        <w:t xml:space="preserve">, ki sprva niso bile predvidene. Taka je bila na primer temeljita strukturna in vsebinska prenova spletnih strani agencije; tudi angleških. Dela je bilo zelo veliko, zato </w:t>
      </w:r>
      <w:r w:rsidR="002B63CF">
        <w:rPr>
          <w:rFonts w:ascii="Verdana" w:hAnsi="Verdana" w:cs="Calibri"/>
        </w:rPr>
        <w:t xml:space="preserve">so </w:t>
      </w:r>
      <w:r w:rsidR="00082164" w:rsidRPr="00EE633E">
        <w:rPr>
          <w:rFonts w:ascii="Verdana" w:hAnsi="Verdana" w:cs="Calibri"/>
        </w:rPr>
        <w:t xml:space="preserve">se </w:t>
      </w:r>
      <w:r w:rsidR="002B63CF">
        <w:rPr>
          <w:rFonts w:ascii="Verdana" w:hAnsi="Verdana" w:cs="Calibri"/>
        </w:rPr>
        <w:t>nekatere n</w:t>
      </w:r>
      <w:r w:rsidR="00082164" w:rsidRPr="00EE633E">
        <w:rPr>
          <w:rFonts w:ascii="Verdana" w:hAnsi="Verdana" w:cs="Calibri"/>
        </w:rPr>
        <w:t>alog</w:t>
      </w:r>
      <w:r w:rsidR="002B63CF">
        <w:rPr>
          <w:rFonts w:ascii="Verdana" w:hAnsi="Verdana" w:cs="Calibri"/>
        </w:rPr>
        <w:t>e</w:t>
      </w:r>
      <w:r w:rsidR="00082164" w:rsidRPr="00EE633E">
        <w:rPr>
          <w:rFonts w:ascii="Verdana" w:hAnsi="Verdana" w:cs="Calibri"/>
        </w:rPr>
        <w:t xml:space="preserve"> prestavil</w:t>
      </w:r>
      <w:r w:rsidR="002B63CF">
        <w:rPr>
          <w:rFonts w:ascii="Verdana" w:hAnsi="Verdana" w:cs="Calibri"/>
        </w:rPr>
        <w:t>e</w:t>
      </w:r>
      <w:r w:rsidR="00082164" w:rsidRPr="00EE633E">
        <w:rPr>
          <w:rFonts w:ascii="Verdana" w:hAnsi="Verdana" w:cs="Calibri"/>
        </w:rPr>
        <w:t xml:space="preserve"> v leto 2019.  </w:t>
      </w:r>
    </w:p>
    <w:p w14:paraId="2968D115" w14:textId="77777777" w:rsidR="00082164" w:rsidRPr="00EE633E" w:rsidRDefault="00082164" w:rsidP="00082164">
      <w:pPr>
        <w:spacing w:after="0"/>
        <w:jc w:val="both"/>
        <w:rPr>
          <w:rFonts w:ascii="Verdana" w:hAnsi="Verdana" w:cs="Calibri"/>
        </w:rPr>
      </w:pPr>
    </w:p>
    <w:p w14:paraId="3529DF82" w14:textId="77777777" w:rsidR="00082164" w:rsidRPr="00EE633E" w:rsidRDefault="002F5642" w:rsidP="00082164">
      <w:pPr>
        <w:spacing w:after="0"/>
        <w:jc w:val="both"/>
        <w:rPr>
          <w:rFonts w:ascii="Verdana" w:hAnsi="Verdana" w:cs="Calibri"/>
        </w:rPr>
      </w:pPr>
      <w:r>
        <w:rPr>
          <w:rFonts w:ascii="Verdana" w:hAnsi="Verdana" w:cs="Calibri"/>
        </w:rPr>
        <w:t>Poročilo o delu in poslovanju v letu 2018 je sestavljeno nekoliko drugače kot doslej</w:t>
      </w:r>
      <w:r w:rsidR="002D09F0">
        <w:rPr>
          <w:rFonts w:ascii="Verdana" w:hAnsi="Verdana" w:cs="Calibri"/>
        </w:rPr>
        <w:t>; podobno, kot je bil sestavljen tudi LDN</w:t>
      </w:r>
      <w:r w:rsidR="00336B9C">
        <w:rPr>
          <w:rFonts w:ascii="Verdana" w:hAnsi="Verdana" w:cs="Calibri"/>
        </w:rPr>
        <w:t xml:space="preserve"> 2018</w:t>
      </w:r>
      <w:r w:rsidR="002D09F0">
        <w:rPr>
          <w:rFonts w:ascii="Verdana" w:hAnsi="Verdana" w:cs="Calibri"/>
        </w:rPr>
        <w:t>. Sledi sestavi slednjega s to razliko</w:t>
      </w:r>
      <w:r w:rsidR="002D09F0" w:rsidRPr="00F416A1">
        <w:rPr>
          <w:rFonts w:ascii="Verdana" w:hAnsi="Verdana" w:cs="Calibri"/>
        </w:rPr>
        <w:t xml:space="preserve">, da </w:t>
      </w:r>
      <w:r w:rsidR="00E15127" w:rsidRPr="00F416A1">
        <w:rPr>
          <w:rFonts w:ascii="Verdana" w:hAnsi="Verdana" w:cs="Calibri"/>
        </w:rPr>
        <w:t>sta za</w:t>
      </w:r>
      <w:r w:rsidR="002D09F0" w:rsidRPr="00F416A1">
        <w:rPr>
          <w:rFonts w:ascii="Verdana" w:hAnsi="Verdana" w:cs="Calibri"/>
        </w:rPr>
        <w:t xml:space="preserve"> </w:t>
      </w:r>
      <w:r w:rsidRPr="00F416A1">
        <w:rPr>
          <w:rFonts w:ascii="Verdana" w:hAnsi="Verdana" w:cs="Calibri"/>
        </w:rPr>
        <w:t>uvodn</w:t>
      </w:r>
      <w:r w:rsidR="002D09F0" w:rsidRPr="00F416A1">
        <w:rPr>
          <w:rFonts w:ascii="Verdana" w:hAnsi="Verdana" w:cs="Calibri"/>
        </w:rPr>
        <w:t>i</w:t>
      </w:r>
      <w:r w:rsidR="00E15127" w:rsidRPr="00F416A1">
        <w:rPr>
          <w:rFonts w:ascii="Verdana" w:hAnsi="Verdana" w:cs="Calibri"/>
        </w:rPr>
        <w:t>m</w:t>
      </w:r>
      <w:r w:rsidRPr="00F416A1">
        <w:rPr>
          <w:rFonts w:ascii="Verdana" w:hAnsi="Verdana" w:cs="Calibri"/>
        </w:rPr>
        <w:t xml:space="preserve"> del</w:t>
      </w:r>
      <w:r w:rsidR="00E15127" w:rsidRPr="00F416A1">
        <w:rPr>
          <w:rFonts w:ascii="Verdana" w:hAnsi="Verdana" w:cs="Calibri"/>
        </w:rPr>
        <w:t>om dodani poglavji o</w:t>
      </w:r>
      <w:r w:rsidR="002D09F0" w:rsidRPr="00F416A1">
        <w:rPr>
          <w:rFonts w:ascii="Verdana" w:hAnsi="Verdana" w:cs="Calibri"/>
        </w:rPr>
        <w:t xml:space="preserve"> </w:t>
      </w:r>
      <w:r w:rsidR="00E15127" w:rsidRPr="00F416A1">
        <w:rPr>
          <w:rFonts w:ascii="Verdana" w:hAnsi="Verdana" w:cs="Calibri"/>
        </w:rPr>
        <w:t>delu organov odločanja agencije t</w:t>
      </w:r>
      <w:r w:rsidR="002D09F0" w:rsidRPr="00F416A1">
        <w:rPr>
          <w:rFonts w:ascii="Verdana" w:hAnsi="Verdana" w:cs="Calibri"/>
        </w:rPr>
        <w:t xml:space="preserve">er </w:t>
      </w:r>
      <w:r w:rsidR="00CE6088" w:rsidRPr="00F416A1">
        <w:rPr>
          <w:rFonts w:ascii="Verdana" w:hAnsi="Verdana" w:cs="Calibri"/>
        </w:rPr>
        <w:t xml:space="preserve">o </w:t>
      </w:r>
      <w:r w:rsidR="002D09F0" w:rsidRPr="00F416A1">
        <w:rPr>
          <w:rFonts w:ascii="Verdana" w:hAnsi="Verdana" w:cs="Calibri"/>
        </w:rPr>
        <w:t>akreditacij</w:t>
      </w:r>
      <w:r w:rsidR="00E15127" w:rsidRPr="00F416A1">
        <w:rPr>
          <w:rFonts w:ascii="Verdana" w:hAnsi="Verdana" w:cs="Calibri"/>
        </w:rPr>
        <w:t>ah</w:t>
      </w:r>
      <w:r w:rsidR="002D09F0" w:rsidRPr="00F416A1">
        <w:rPr>
          <w:rFonts w:ascii="Verdana" w:hAnsi="Verdana" w:cs="Calibri"/>
        </w:rPr>
        <w:t xml:space="preserve"> in evalvacij</w:t>
      </w:r>
      <w:r w:rsidR="00E15127" w:rsidRPr="00F416A1">
        <w:rPr>
          <w:rFonts w:ascii="Verdana" w:hAnsi="Verdana" w:cs="Calibri"/>
        </w:rPr>
        <w:t>ah</w:t>
      </w:r>
      <w:r w:rsidR="002D09F0" w:rsidRPr="00F416A1">
        <w:rPr>
          <w:rFonts w:ascii="Verdana" w:hAnsi="Verdana" w:cs="Calibri"/>
        </w:rPr>
        <w:t xml:space="preserve"> v </w:t>
      </w:r>
      <w:r w:rsidR="00CE6088" w:rsidRPr="00F416A1">
        <w:rPr>
          <w:rFonts w:ascii="Verdana" w:hAnsi="Verdana" w:cs="Calibri"/>
        </w:rPr>
        <w:t>visokem šolstvu, delo agencije pa je razdeljeno na obdobje pred sprejetjem LDN 2018 in po njem</w:t>
      </w:r>
      <w:r w:rsidR="00E15127" w:rsidRPr="00F416A1">
        <w:rPr>
          <w:rFonts w:ascii="Verdana" w:hAnsi="Verdana" w:cs="Calibri"/>
        </w:rPr>
        <w:t>.</w:t>
      </w:r>
      <w:r w:rsidR="002D09F0">
        <w:rPr>
          <w:rFonts w:ascii="Verdana" w:hAnsi="Verdana" w:cs="Calibri"/>
        </w:rPr>
        <w:t xml:space="preserve"> </w:t>
      </w:r>
    </w:p>
    <w:p w14:paraId="22703FA4" w14:textId="77777777" w:rsidR="00082164" w:rsidRPr="00EE633E" w:rsidRDefault="00082164" w:rsidP="00082164">
      <w:pPr>
        <w:spacing w:after="0"/>
        <w:jc w:val="both"/>
        <w:rPr>
          <w:rFonts w:ascii="Verdana" w:hAnsi="Verdana" w:cs="Calibri"/>
        </w:rPr>
      </w:pPr>
      <w:r w:rsidRPr="00EE633E">
        <w:rPr>
          <w:rFonts w:ascii="Verdana" w:hAnsi="Verdana" w:cs="Calibri"/>
        </w:rPr>
        <w:t xml:space="preserve"> </w:t>
      </w:r>
    </w:p>
    <w:p w14:paraId="47464002" w14:textId="77777777" w:rsidR="00082164" w:rsidRPr="00EE633E" w:rsidRDefault="00082164" w:rsidP="00082164">
      <w:pPr>
        <w:spacing w:after="0"/>
        <w:ind w:left="6664" w:firstLine="426"/>
        <w:jc w:val="both"/>
        <w:rPr>
          <w:rFonts w:ascii="Verdana" w:hAnsi="Verdana" w:cs="Calibri"/>
        </w:rPr>
      </w:pPr>
      <w:r w:rsidRPr="00EE633E">
        <w:rPr>
          <w:rFonts w:ascii="Verdana" w:hAnsi="Verdana" w:cs="Calibri"/>
        </w:rPr>
        <w:t>dr. Franci Demšar,</w:t>
      </w:r>
    </w:p>
    <w:p w14:paraId="6D1266DD" w14:textId="77777777" w:rsidR="00082164" w:rsidRPr="00EE633E" w:rsidRDefault="00082164" w:rsidP="00082164">
      <w:pPr>
        <w:spacing w:after="0"/>
        <w:ind w:left="7373" w:hanging="283"/>
        <w:jc w:val="both"/>
        <w:rPr>
          <w:rFonts w:ascii="Verdana" w:hAnsi="Verdana" w:cs="Calibri"/>
        </w:rPr>
      </w:pPr>
      <w:r w:rsidRPr="00EE633E">
        <w:rPr>
          <w:rFonts w:ascii="Verdana" w:hAnsi="Verdana" w:cs="Calibri"/>
        </w:rPr>
        <w:t xml:space="preserve">    direktor</w:t>
      </w:r>
    </w:p>
    <w:p w14:paraId="760119D4" w14:textId="6EE41BDD" w:rsidR="00082164" w:rsidRPr="006E2B4C" w:rsidRDefault="00082164" w:rsidP="002B63CF">
      <w:pPr>
        <w:spacing w:after="0"/>
        <w:jc w:val="both"/>
        <w:rPr>
          <w:rFonts w:ascii="Verdana" w:hAnsi="Verdana" w:cs="Calibri"/>
        </w:rPr>
      </w:pPr>
      <w:r w:rsidRPr="00EE633E">
        <w:rPr>
          <w:rFonts w:ascii="Verdana" w:hAnsi="Verdana" w:cs="Calibri"/>
        </w:rPr>
        <w:t xml:space="preserve">Ljubljana, </w:t>
      </w:r>
      <w:r w:rsidR="00375D65">
        <w:rPr>
          <w:rFonts w:ascii="Verdana" w:hAnsi="Verdana" w:cs="Calibri"/>
        </w:rPr>
        <w:t>februar</w:t>
      </w:r>
      <w:r w:rsidRPr="00EE633E">
        <w:rPr>
          <w:rFonts w:ascii="Verdana" w:hAnsi="Verdana" w:cs="Calibri"/>
        </w:rPr>
        <w:t xml:space="preserve"> 201</w:t>
      </w:r>
      <w:r w:rsidR="004653E1" w:rsidRPr="00EE633E">
        <w:rPr>
          <w:rFonts w:ascii="Verdana" w:hAnsi="Verdana" w:cs="Calibri"/>
        </w:rPr>
        <w:t>9</w:t>
      </w:r>
    </w:p>
    <w:p w14:paraId="2348C970" w14:textId="77777777" w:rsidR="00082164" w:rsidRPr="006E2B4C" w:rsidRDefault="00082164" w:rsidP="00082164">
      <w:pPr>
        <w:spacing w:after="0"/>
        <w:jc w:val="both"/>
        <w:rPr>
          <w:rFonts w:ascii="Verdana" w:hAnsi="Verdana" w:cs="Calibri"/>
        </w:rPr>
      </w:pPr>
    </w:p>
    <w:p w14:paraId="3A64850F" w14:textId="77777777" w:rsidR="00082164" w:rsidRPr="006E2B4C" w:rsidRDefault="00082164" w:rsidP="00082164">
      <w:pPr>
        <w:spacing w:after="0"/>
        <w:jc w:val="both"/>
        <w:rPr>
          <w:rFonts w:ascii="Verdana" w:hAnsi="Verdana" w:cs="Calibri"/>
        </w:rPr>
      </w:pPr>
    </w:p>
    <w:p w14:paraId="3D517335" w14:textId="77777777" w:rsidR="00082164" w:rsidRPr="006E2B4C" w:rsidRDefault="00082164" w:rsidP="00082164">
      <w:pPr>
        <w:spacing w:after="0"/>
        <w:jc w:val="both"/>
        <w:rPr>
          <w:rFonts w:ascii="Verdana" w:hAnsi="Verdana" w:cs="Calibri"/>
        </w:rPr>
      </w:pPr>
    </w:p>
    <w:p w14:paraId="78BD7B29" w14:textId="77777777" w:rsidR="00082164" w:rsidRPr="002B103F" w:rsidRDefault="00082164" w:rsidP="00082164">
      <w:pPr>
        <w:pStyle w:val="Naslov"/>
        <w:rPr>
          <w:sz w:val="22"/>
          <w:szCs w:val="22"/>
        </w:rPr>
      </w:pPr>
      <w:bookmarkStart w:id="0" w:name="_Toc532454086"/>
      <w:bookmarkStart w:id="1" w:name="_Toc2157278"/>
      <w:r w:rsidRPr="002B103F">
        <w:rPr>
          <w:sz w:val="22"/>
          <w:szCs w:val="22"/>
        </w:rPr>
        <w:t>Vsebina</w:t>
      </w:r>
      <w:bookmarkEnd w:id="0"/>
      <w:bookmarkEnd w:id="1"/>
    </w:p>
    <w:p w14:paraId="182ADBF8" w14:textId="77777777" w:rsidR="00082164" w:rsidRPr="002B103F" w:rsidRDefault="00082164" w:rsidP="00082164">
      <w:pPr>
        <w:rPr>
          <w:rFonts w:ascii="Verdana" w:hAnsi="Verdana"/>
        </w:rPr>
      </w:pPr>
    </w:p>
    <w:p w14:paraId="48A18C17" w14:textId="77777777" w:rsidR="00464000" w:rsidRDefault="00082164">
      <w:pPr>
        <w:pStyle w:val="Kazalovsebine1"/>
        <w:rPr>
          <w:rFonts w:asciiTheme="minorHAnsi" w:eastAsiaTheme="minorEastAsia" w:hAnsiTheme="minorHAnsi" w:cstheme="minorBidi"/>
          <w:b w:val="0"/>
          <w:bCs w:val="0"/>
          <w:sz w:val="22"/>
          <w:szCs w:val="22"/>
          <w:lang w:eastAsia="sl-SI"/>
        </w:rPr>
      </w:pPr>
      <w:r w:rsidRPr="002B103F">
        <w:rPr>
          <w:b w:val="0"/>
          <w:noProof w:val="0"/>
          <w:sz w:val="22"/>
          <w:szCs w:val="22"/>
        </w:rPr>
        <w:fldChar w:fldCharType="begin"/>
      </w:r>
      <w:r w:rsidRPr="002B103F">
        <w:rPr>
          <w:b w:val="0"/>
          <w:noProof w:val="0"/>
          <w:sz w:val="22"/>
          <w:szCs w:val="22"/>
        </w:rPr>
        <w:instrText xml:space="preserve"> TOC \o "1-2" \h \z \u \t "Naslov 4;3" </w:instrText>
      </w:r>
      <w:r w:rsidRPr="002B103F">
        <w:rPr>
          <w:b w:val="0"/>
          <w:noProof w:val="0"/>
          <w:sz w:val="22"/>
          <w:szCs w:val="22"/>
        </w:rPr>
        <w:fldChar w:fldCharType="separate"/>
      </w:r>
      <w:hyperlink w:anchor="_Toc2157278" w:history="1">
        <w:r w:rsidR="00464000" w:rsidRPr="00C62E5F">
          <w:rPr>
            <w:rStyle w:val="Hiperpovezava"/>
          </w:rPr>
          <w:t>Vsebina</w:t>
        </w:r>
        <w:r w:rsidR="00464000">
          <w:rPr>
            <w:webHidden/>
          </w:rPr>
          <w:tab/>
        </w:r>
        <w:r w:rsidR="00464000">
          <w:rPr>
            <w:webHidden/>
          </w:rPr>
          <w:fldChar w:fldCharType="begin"/>
        </w:r>
        <w:r w:rsidR="00464000">
          <w:rPr>
            <w:webHidden/>
          </w:rPr>
          <w:instrText xml:space="preserve"> PAGEREF _Toc2157278 \h </w:instrText>
        </w:r>
        <w:r w:rsidR="00464000">
          <w:rPr>
            <w:webHidden/>
          </w:rPr>
        </w:r>
        <w:r w:rsidR="00464000">
          <w:rPr>
            <w:webHidden/>
          </w:rPr>
          <w:fldChar w:fldCharType="separate"/>
        </w:r>
        <w:r w:rsidR="00464000">
          <w:rPr>
            <w:webHidden/>
          </w:rPr>
          <w:t>3</w:t>
        </w:r>
        <w:r w:rsidR="00464000">
          <w:rPr>
            <w:webHidden/>
          </w:rPr>
          <w:fldChar w:fldCharType="end"/>
        </w:r>
      </w:hyperlink>
    </w:p>
    <w:p w14:paraId="78883501" w14:textId="77777777" w:rsidR="00464000" w:rsidRDefault="00ED351D">
      <w:pPr>
        <w:pStyle w:val="Kazalovsebine1"/>
        <w:rPr>
          <w:rFonts w:asciiTheme="minorHAnsi" w:eastAsiaTheme="minorEastAsia" w:hAnsiTheme="minorHAnsi" w:cstheme="minorBidi"/>
          <w:b w:val="0"/>
          <w:bCs w:val="0"/>
          <w:sz w:val="22"/>
          <w:szCs w:val="22"/>
          <w:lang w:eastAsia="sl-SI"/>
        </w:rPr>
      </w:pPr>
      <w:hyperlink w:anchor="_Toc2157279" w:history="1">
        <w:r w:rsidR="00464000" w:rsidRPr="00C62E5F">
          <w:rPr>
            <w:rStyle w:val="Hiperpovezava"/>
          </w:rPr>
          <w:t>I UVOD</w:t>
        </w:r>
        <w:r w:rsidR="00464000">
          <w:rPr>
            <w:webHidden/>
          </w:rPr>
          <w:tab/>
        </w:r>
        <w:r w:rsidR="00464000">
          <w:rPr>
            <w:webHidden/>
          </w:rPr>
          <w:fldChar w:fldCharType="begin"/>
        </w:r>
        <w:r w:rsidR="00464000">
          <w:rPr>
            <w:webHidden/>
          </w:rPr>
          <w:instrText xml:space="preserve"> PAGEREF _Toc2157279 \h </w:instrText>
        </w:r>
        <w:r w:rsidR="00464000">
          <w:rPr>
            <w:webHidden/>
          </w:rPr>
        </w:r>
        <w:r w:rsidR="00464000">
          <w:rPr>
            <w:webHidden/>
          </w:rPr>
          <w:fldChar w:fldCharType="separate"/>
        </w:r>
        <w:r w:rsidR="00464000">
          <w:rPr>
            <w:webHidden/>
          </w:rPr>
          <w:t>4</w:t>
        </w:r>
        <w:r w:rsidR="00464000">
          <w:rPr>
            <w:webHidden/>
          </w:rPr>
          <w:fldChar w:fldCharType="end"/>
        </w:r>
      </w:hyperlink>
    </w:p>
    <w:p w14:paraId="1C6661B9" w14:textId="77777777" w:rsidR="00464000" w:rsidRDefault="00ED351D">
      <w:pPr>
        <w:pStyle w:val="Kazalovsebine2"/>
        <w:rPr>
          <w:rFonts w:asciiTheme="minorHAnsi" w:eastAsiaTheme="minorEastAsia" w:hAnsiTheme="minorHAnsi" w:cstheme="minorBidi"/>
          <w:bCs w:val="0"/>
          <w:sz w:val="22"/>
          <w:szCs w:val="22"/>
          <w:lang w:eastAsia="sl-SI"/>
        </w:rPr>
      </w:pPr>
      <w:hyperlink w:anchor="_Toc2157280" w:history="1">
        <w:r w:rsidR="00464000" w:rsidRPr="00C62E5F">
          <w:rPr>
            <w:rStyle w:val="Hiperpovezava"/>
          </w:rPr>
          <w:t>I.1 NOTRANJA ORGANIZACIJA AGENCIJE</w:t>
        </w:r>
        <w:r w:rsidR="00464000">
          <w:rPr>
            <w:webHidden/>
          </w:rPr>
          <w:tab/>
        </w:r>
        <w:r w:rsidR="00464000">
          <w:rPr>
            <w:webHidden/>
          </w:rPr>
          <w:fldChar w:fldCharType="begin"/>
        </w:r>
        <w:r w:rsidR="00464000">
          <w:rPr>
            <w:webHidden/>
          </w:rPr>
          <w:instrText xml:space="preserve"> PAGEREF _Toc2157280 \h </w:instrText>
        </w:r>
        <w:r w:rsidR="00464000">
          <w:rPr>
            <w:webHidden/>
          </w:rPr>
        </w:r>
        <w:r w:rsidR="00464000">
          <w:rPr>
            <w:webHidden/>
          </w:rPr>
          <w:fldChar w:fldCharType="separate"/>
        </w:r>
        <w:r w:rsidR="00464000">
          <w:rPr>
            <w:webHidden/>
          </w:rPr>
          <w:t>4</w:t>
        </w:r>
        <w:r w:rsidR="00464000">
          <w:rPr>
            <w:webHidden/>
          </w:rPr>
          <w:fldChar w:fldCharType="end"/>
        </w:r>
      </w:hyperlink>
    </w:p>
    <w:p w14:paraId="1EBFC183" w14:textId="77777777" w:rsidR="00464000" w:rsidRDefault="00ED351D">
      <w:pPr>
        <w:pStyle w:val="Kazalovsebine2"/>
        <w:rPr>
          <w:rFonts w:asciiTheme="minorHAnsi" w:eastAsiaTheme="minorEastAsia" w:hAnsiTheme="minorHAnsi" w:cstheme="minorBidi"/>
          <w:bCs w:val="0"/>
          <w:sz w:val="22"/>
          <w:szCs w:val="22"/>
          <w:lang w:eastAsia="sl-SI"/>
        </w:rPr>
      </w:pPr>
      <w:hyperlink w:anchor="_Toc2157281" w:history="1">
        <w:r w:rsidR="00464000" w:rsidRPr="00C62E5F">
          <w:rPr>
            <w:rStyle w:val="Hiperpovezava"/>
          </w:rPr>
          <w:t>I.2 PRIPOROČILA ZA DELO AGENCIJE V TEM SAMOEVALVACIJSKEM OBDOBJU (IZ SAMOEVALVACIJSKEGA POROČILA AGENCIJE ZA LETI 2016 in 2017 (SEP 2016-2017))</w:t>
        </w:r>
        <w:r w:rsidR="00464000">
          <w:rPr>
            <w:webHidden/>
          </w:rPr>
          <w:tab/>
        </w:r>
        <w:r w:rsidR="00464000">
          <w:rPr>
            <w:webHidden/>
          </w:rPr>
          <w:fldChar w:fldCharType="begin"/>
        </w:r>
        <w:r w:rsidR="00464000">
          <w:rPr>
            <w:webHidden/>
          </w:rPr>
          <w:instrText xml:space="preserve"> PAGEREF _Toc2157281 \h </w:instrText>
        </w:r>
        <w:r w:rsidR="00464000">
          <w:rPr>
            <w:webHidden/>
          </w:rPr>
        </w:r>
        <w:r w:rsidR="00464000">
          <w:rPr>
            <w:webHidden/>
          </w:rPr>
          <w:fldChar w:fldCharType="separate"/>
        </w:r>
        <w:r w:rsidR="00464000">
          <w:rPr>
            <w:webHidden/>
          </w:rPr>
          <w:t>11</w:t>
        </w:r>
        <w:r w:rsidR="00464000">
          <w:rPr>
            <w:webHidden/>
          </w:rPr>
          <w:fldChar w:fldCharType="end"/>
        </w:r>
      </w:hyperlink>
    </w:p>
    <w:p w14:paraId="3D6F871F" w14:textId="77777777" w:rsidR="00464000" w:rsidRDefault="00ED351D">
      <w:pPr>
        <w:pStyle w:val="Kazalovsebine2"/>
        <w:rPr>
          <w:rFonts w:asciiTheme="minorHAnsi" w:eastAsiaTheme="minorEastAsia" w:hAnsiTheme="minorHAnsi" w:cstheme="minorBidi"/>
          <w:bCs w:val="0"/>
          <w:sz w:val="22"/>
          <w:szCs w:val="22"/>
          <w:lang w:eastAsia="sl-SI"/>
        </w:rPr>
      </w:pPr>
      <w:hyperlink w:anchor="_Toc2157282" w:history="1">
        <w:r w:rsidR="00464000" w:rsidRPr="00C62E5F">
          <w:rPr>
            <w:rStyle w:val="Hiperpovezava"/>
          </w:rPr>
          <w:t>I.3 PRIKAZ OPRAVLJENIH NALOG V LETU 2018</w:t>
        </w:r>
        <w:r w:rsidR="00464000">
          <w:rPr>
            <w:webHidden/>
          </w:rPr>
          <w:tab/>
        </w:r>
        <w:r w:rsidR="00464000">
          <w:rPr>
            <w:webHidden/>
          </w:rPr>
          <w:fldChar w:fldCharType="begin"/>
        </w:r>
        <w:r w:rsidR="00464000">
          <w:rPr>
            <w:webHidden/>
          </w:rPr>
          <w:instrText xml:space="preserve"> PAGEREF _Toc2157282 \h </w:instrText>
        </w:r>
        <w:r w:rsidR="00464000">
          <w:rPr>
            <w:webHidden/>
          </w:rPr>
        </w:r>
        <w:r w:rsidR="00464000">
          <w:rPr>
            <w:webHidden/>
          </w:rPr>
          <w:fldChar w:fldCharType="separate"/>
        </w:r>
        <w:r w:rsidR="00464000">
          <w:rPr>
            <w:webHidden/>
          </w:rPr>
          <w:t>12</w:t>
        </w:r>
        <w:r w:rsidR="00464000">
          <w:rPr>
            <w:webHidden/>
          </w:rPr>
          <w:fldChar w:fldCharType="end"/>
        </w:r>
      </w:hyperlink>
    </w:p>
    <w:p w14:paraId="7A9F8381" w14:textId="77777777" w:rsidR="00464000" w:rsidRDefault="00ED351D">
      <w:pPr>
        <w:pStyle w:val="Kazalovsebine1"/>
        <w:rPr>
          <w:rFonts w:asciiTheme="minorHAnsi" w:eastAsiaTheme="minorEastAsia" w:hAnsiTheme="minorHAnsi" w:cstheme="minorBidi"/>
          <w:b w:val="0"/>
          <w:bCs w:val="0"/>
          <w:sz w:val="22"/>
          <w:szCs w:val="22"/>
          <w:lang w:eastAsia="sl-SI"/>
        </w:rPr>
      </w:pPr>
      <w:hyperlink w:anchor="_Toc2157283" w:history="1">
        <w:r w:rsidR="00464000" w:rsidRPr="00C62E5F">
          <w:rPr>
            <w:rStyle w:val="Hiperpovezava"/>
          </w:rPr>
          <w:t>II PREGLED DELA ORGANOV ODLOČANJA AGENCIJE NA PRVI IN DRUGI STOPNJI</w:t>
        </w:r>
        <w:r w:rsidR="00464000">
          <w:rPr>
            <w:webHidden/>
          </w:rPr>
          <w:tab/>
        </w:r>
        <w:r w:rsidR="00464000">
          <w:rPr>
            <w:webHidden/>
          </w:rPr>
          <w:fldChar w:fldCharType="begin"/>
        </w:r>
        <w:r w:rsidR="00464000">
          <w:rPr>
            <w:webHidden/>
          </w:rPr>
          <w:instrText xml:space="preserve"> PAGEREF _Toc2157283 \h </w:instrText>
        </w:r>
        <w:r w:rsidR="00464000">
          <w:rPr>
            <w:webHidden/>
          </w:rPr>
        </w:r>
        <w:r w:rsidR="00464000">
          <w:rPr>
            <w:webHidden/>
          </w:rPr>
          <w:fldChar w:fldCharType="separate"/>
        </w:r>
        <w:r w:rsidR="00464000">
          <w:rPr>
            <w:webHidden/>
          </w:rPr>
          <w:t>13</w:t>
        </w:r>
        <w:r w:rsidR="00464000">
          <w:rPr>
            <w:webHidden/>
          </w:rPr>
          <w:fldChar w:fldCharType="end"/>
        </w:r>
      </w:hyperlink>
    </w:p>
    <w:p w14:paraId="5484E47F" w14:textId="77777777" w:rsidR="00464000" w:rsidRDefault="00ED351D">
      <w:pPr>
        <w:pStyle w:val="Kazalovsebine2"/>
        <w:rPr>
          <w:rFonts w:asciiTheme="minorHAnsi" w:eastAsiaTheme="minorEastAsia" w:hAnsiTheme="minorHAnsi" w:cstheme="minorBidi"/>
          <w:bCs w:val="0"/>
          <w:sz w:val="22"/>
          <w:szCs w:val="22"/>
          <w:lang w:eastAsia="sl-SI"/>
        </w:rPr>
      </w:pPr>
      <w:hyperlink w:anchor="_Toc2157284" w:history="1">
        <w:r w:rsidR="00464000" w:rsidRPr="00C62E5F">
          <w:rPr>
            <w:rStyle w:val="Hiperpovezava"/>
          </w:rPr>
          <w:t>II.1 SVET AGENCIJE</w:t>
        </w:r>
        <w:r w:rsidR="00464000">
          <w:rPr>
            <w:webHidden/>
          </w:rPr>
          <w:tab/>
        </w:r>
        <w:r w:rsidR="00464000">
          <w:rPr>
            <w:webHidden/>
          </w:rPr>
          <w:fldChar w:fldCharType="begin"/>
        </w:r>
        <w:r w:rsidR="00464000">
          <w:rPr>
            <w:webHidden/>
          </w:rPr>
          <w:instrText xml:space="preserve"> PAGEREF _Toc2157284 \h </w:instrText>
        </w:r>
        <w:r w:rsidR="00464000">
          <w:rPr>
            <w:webHidden/>
          </w:rPr>
        </w:r>
        <w:r w:rsidR="00464000">
          <w:rPr>
            <w:webHidden/>
          </w:rPr>
          <w:fldChar w:fldCharType="separate"/>
        </w:r>
        <w:r w:rsidR="00464000">
          <w:rPr>
            <w:webHidden/>
          </w:rPr>
          <w:t>13</w:t>
        </w:r>
        <w:r w:rsidR="00464000">
          <w:rPr>
            <w:webHidden/>
          </w:rPr>
          <w:fldChar w:fldCharType="end"/>
        </w:r>
      </w:hyperlink>
    </w:p>
    <w:p w14:paraId="093EC6EA" w14:textId="77777777" w:rsidR="00464000" w:rsidRDefault="00ED351D">
      <w:pPr>
        <w:pStyle w:val="Kazalovsebine2"/>
        <w:rPr>
          <w:rFonts w:asciiTheme="minorHAnsi" w:eastAsiaTheme="minorEastAsia" w:hAnsiTheme="minorHAnsi" w:cstheme="minorBidi"/>
          <w:bCs w:val="0"/>
          <w:sz w:val="22"/>
          <w:szCs w:val="22"/>
          <w:lang w:eastAsia="sl-SI"/>
        </w:rPr>
      </w:pPr>
      <w:hyperlink w:anchor="_Toc2157285" w:history="1">
        <w:r w:rsidR="00464000" w:rsidRPr="00C62E5F">
          <w:rPr>
            <w:rStyle w:val="Hiperpovezava"/>
          </w:rPr>
          <w:t>II.2 PRITOŽBENA KOMISIJA</w:t>
        </w:r>
        <w:r w:rsidR="00464000">
          <w:rPr>
            <w:webHidden/>
          </w:rPr>
          <w:tab/>
        </w:r>
        <w:r w:rsidR="00464000">
          <w:rPr>
            <w:webHidden/>
          </w:rPr>
          <w:fldChar w:fldCharType="begin"/>
        </w:r>
        <w:r w:rsidR="00464000">
          <w:rPr>
            <w:webHidden/>
          </w:rPr>
          <w:instrText xml:space="preserve"> PAGEREF _Toc2157285 \h </w:instrText>
        </w:r>
        <w:r w:rsidR="00464000">
          <w:rPr>
            <w:webHidden/>
          </w:rPr>
        </w:r>
        <w:r w:rsidR="00464000">
          <w:rPr>
            <w:webHidden/>
          </w:rPr>
          <w:fldChar w:fldCharType="separate"/>
        </w:r>
        <w:r w:rsidR="00464000">
          <w:rPr>
            <w:webHidden/>
          </w:rPr>
          <w:t>15</w:t>
        </w:r>
        <w:r w:rsidR="00464000">
          <w:rPr>
            <w:webHidden/>
          </w:rPr>
          <w:fldChar w:fldCharType="end"/>
        </w:r>
      </w:hyperlink>
    </w:p>
    <w:p w14:paraId="4861AC44" w14:textId="77777777" w:rsidR="00464000" w:rsidRDefault="00ED351D">
      <w:pPr>
        <w:pStyle w:val="Kazalovsebine1"/>
        <w:rPr>
          <w:rFonts w:asciiTheme="minorHAnsi" w:eastAsiaTheme="minorEastAsia" w:hAnsiTheme="minorHAnsi" w:cstheme="minorBidi"/>
          <w:b w:val="0"/>
          <w:bCs w:val="0"/>
          <w:sz w:val="22"/>
          <w:szCs w:val="22"/>
          <w:lang w:eastAsia="sl-SI"/>
        </w:rPr>
      </w:pPr>
      <w:hyperlink w:anchor="_Toc2157286" w:history="1">
        <w:r w:rsidR="00464000" w:rsidRPr="00C62E5F">
          <w:rPr>
            <w:rStyle w:val="Hiperpovezava"/>
          </w:rPr>
          <w:t>III AKREDITACIJE IN EVALVACIJE V VISOKEM IN VIŠJEM ŠOLSTVU</w:t>
        </w:r>
        <w:r w:rsidR="00464000">
          <w:rPr>
            <w:webHidden/>
          </w:rPr>
          <w:tab/>
        </w:r>
        <w:r w:rsidR="00464000">
          <w:rPr>
            <w:webHidden/>
          </w:rPr>
          <w:fldChar w:fldCharType="begin"/>
        </w:r>
        <w:r w:rsidR="00464000">
          <w:rPr>
            <w:webHidden/>
          </w:rPr>
          <w:instrText xml:space="preserve"> PAGEREF _Toc2157286 \h </w:instrText>
        </w:r>
        <w:r w:rsidR="00464000">
          <w:rPr>
            <w:webHidden/>
          </w:rPr>
        </w:r>
        <w:r w:rsidR="00464000">
          <w:rPr>
            <w:webHidden/>
          </w:rPr>
          <w:fldChar w:fldCharType="separate"/>
        </w:r>
        <w:r w:rsidR="00464000">
          <w:rPr>
            <w:webHidden/>
          </w:rPr>
          <w:t>17</w:t>
        </w:r>
        <w:r w:rsidR="00464000">
          <w:rPr>
            <w:webHidden/>
          </w:rPr>
          <w:fldChar w:fldCharType="end"/>
        </w:r>
      </w:hyperlink>
    </w:p>
    <w:p w14:paraId="661A7B73" w14:textId="77777777" w:rsidR="00464000" w:rsidRDefault="00ED351D">
      <w:pPr>
        <w:pStyle w:val="Kazalovsebine1"/>
        <w:rPr>
          <w:rFonts w:asciiTheme="minorHAnsi" w:eastAsiaTheme="minorEastAsia" w:hAnsiTheme="minorHAnsi" w:cstheme="minorBidi"/>
          <w:b w:val="0"/>
          <w:bCs w:val="0"/>
          <w:sz w:val="22"/>
          <w:szCs w:val="22"/>
          <w:lang w:eastAsia="sl-SI"/>
        </w:rPr>
      </w:pPr>
      <w:hyperlink w:anchor="_Toc2157287" w:history="1">
        <w:r w:rsidR="00464000" w:rsidRPr="00C62E5F">
          <w:rPr>
            <w:rStyle w:val="Hiperpovezava"/>
          </w:rPr>
          <w:t>IV PREDNOSTNE (POMEMBNE) NALOGE AGENCIJE V LETU 2018</w:t>
        </w:r>
        <w:r w:rsidR="00464000">
          <w:rPr>
            <w:webHidden/>
          </w:rPr>
          <w:tab/>
        </w:r>
        <w:r w:rsidR="00464000">
          <w:rPr>
            <w:webHidden/>
          </w:rPr>
          <w:fldChar w:fldCharType="begin"/>
        </w:r>
        <w:r w:rsidR="00464000">
          <w:rPr>
            <w:webHidden/>
          </w:rPr>
          <w:instrText xml:space="preserve"> PAGEREF _Toc2157287 \h </w:instrText>
        </w:r>
        <w:r w:rsidR="00464000">
          <w:rPr>
            <w:webHidden/>
          </w:rPr>
        </w:r>
        <w:r w:rsidR="00464000">
          <w:rPr>
            <w:webHidden/>
          </w:rPr>
          <w:fldChar w:fldCharType="separate"/>
        </w:r>
        <w:r w:rsidR="00464000">
          <w:rPr>
            <w:webHidden/>
          </w:rPr>
          <w:t>25</w:t>
        </w:r>
        <w:r w:rsidR="00464000">
          <w:rPr>
            <w:webHidden/>
          </w:rPr>
          <w:fldChar w:fldCharType="end"/>
        </w:r>
      </w:hyperlink>
    </w:p>
    <w:p w14:paraId="20FEE74F" w14:textId="77777777" w:rsidR="00464000" w:rsidRDefault="00ED351D">
      <w:pPr>
        <w:pStyle w:val="Kazalovsebine2"/>
        <w:rPr>
          <w:rFonts w:asciiTheme="minorHAnsi" w:eastAsiaTheme="minorEastAsia" w:hAnsiTheme="minorHAnsi" w:cstheme="minorBidi"/>
          <w:bCs w:val="0"/>
          <w:sz w:val="22"/>
          <w:szCs w:val="22"/>
          <w:lang w:eastAsia="sl-SI"/>
        </w:rPr>
      </w:pPr>
      <w:hyperlink w:anchor="_Toc2157288" w:history="1">
        <w:r w:rsidR="00464000" w:rsidRPr="00C62E5F">
          <w:rPr>
            <w:rStyle w:val="Hiperpovezava"/>
          </w:rPr>
          <w:t>IV.1 PRED SPREJETJEM LDN 2018</w:t>
        </w:r>
        <w:r w:rsidR="00464000">
          <w:rPr>
            <w:webHidden/>
          </w:rPr>
          <w:tab/>
        </w:r>
        <w:r w:rsidR="00464000">
          <w:rPr>
            <w:webHidden/>
          </w:rPr>
          <w:fldChar w:fldCharType="begin"/>
        </w:r>
        <w:r w:rsidR="00464000">
          <w:rPr>
            <w:webHidden/>
          </w:rPr>
          <w:instrText xml:space="preserve"> PAGEREF _Toc2157288 \h </w:instrText>
        </w:r>
        <w:r w:rsidR="00464000">
          <w:rPr>
            <w:webHidden/>
          </w:rPr>
        </w:r>
        <w:r w:rsidR="00464000">
          <w:rPr>
            <w:webHidden/>
          </w:rPr>
          <w:fldChar w:fldCharType="separate"/>
        </w:r>
        <w:r w:rsidR="00464000">
          <w:rPr>
            <w:webHidden/>
          </w:rPr>
          <w:t>25</w:t>
        </w:r>
        <w:r w:rsidR="00464000">
          <w:rPr>
            <w:webHidden/>
          </w:rPr>
          <w:fldChar w:fldCharType="end"/>
        </w:r>
      </w:hyperlink>
    </w:p>
    <w:p w14:paraId="6DFC9731" w14:textId="77777777" w:rsidR="00464000" w:rsidRDefault="00ED351D">
      <w:pPr>
        <w:pStyle w:val="Kazalovsebine2"/>
        <w:rPr>
          <w:rFonts w:asciiTheme="minorHAnsi" w:eastAsiaTheme="minorEastAsia" w:hAnsiTheme="minorHAnsi" w:cstheme="minorBidi"/>
          <w:bCs w:val="0"/>
          <w:sz w:val="22"/>
          <w:szCs w:val="22"/>
          <w:lang w:eastAsia="sl-SI"/>
        </w:rPr>
      </w:pPr>
      <w:hyperlink w:anchor="_Toc2157289" w:history="1">
        <w:r w:rsidR="00464000" w:rsidRPr="00C62E5F">
          <w:rPr>
            <w:rStyle w:val="Hiperpovezava"/>
          </w:rPr>
          <w:t>IV.2 PO SPREJETJU LDN 2018</w:t>
        </w:r>
        <w:r w:rsidR="00464000">
          <w:rPr>
            <w:webHidden/>
          </w:rPr>
          <w:tab/>
        </w:r>
        <w:r w:rsidR="00464000">
          <w:rPr>
            <w:webHidden/>
          </w:rPr>
          <w:fldChar w:fldCharType="begin"/>
        </w:r>
        <w:r w:rsidR="00464000">
          <w:rPr>
            <w:webHidden/>
          </w:rPr>
          <w:instrText xml:space="preserve"> PAGEREF _Toc2157289 \h </w:instrText>
        </w:r>
        <w:r w:rsidR="00464000">
          <w:rPr>
            <w:webHidden/>
          </w:rPr>
        </w:r>
        <w:r w:rsidR="00464000">
          <w:rPr>
            <w:webHidden/>
          </w:rPr>
          <w:fldChar w:fldCharType="separate"/>
        </w:r>
        <w:r w:rsidR="00464000">
          <w:rPr>
            <w:webHidden/>
          </w:rPr>
          <w:t>29</w:t>
        </w:r>
        <w:r w:rsidR="00464000">
          <w:rPr>
            <w:webHidden/>
          </w:rPr>
          <w:fldChar w:fldCharType="end"/>
        </w:r>
      </w:hyperlink>
    </w:p>
    <w:p w14:paraId="0E41164F" w14:textId="77777777" w:rsidR="00464000" w:rsidRDefault="00ED351D">
      <w:pPr>
        <w:pStyle w:val="Kazalovsebine1"/>
        <w:rPr>
          <w:rFonts w:asciiTheme="minorHAnsi" w:eastAsiaTheme="minorEastAsia" w:hAnsiTheme="minorHAnsi" w:cstheme="minorBidi"/>
          <w:b w:val="0"/>
          <w:bCs w:val="0"/>
          <w:sz w:val="22"/>
          <w:szCs w:val="22"/>
          <w:lang w:eastAsia="sl-SI"/>
        </w:rPr>
      </w:pPr>
      <w:hyperlink w:anchor="_Toc2157290" w:history="1">
        <w:r w:rsidR="00464000" w:rsidRPr="00C62E5F">
          <w:rPr>
            <w:rStyle w:val="Hiperpovezava"/>
            <w:i/>
            <w:iCs/>
          </w:rPr>
          <w:t>IV.2.1 URESNIČEVANJE AKCIJSKEGA NAČRTA 2018</w:t>
        </w:r>
        <w:r w:rsidR="00464000">
          <w:rPr>
            <w:webHidden/>
          </w:rPr>
          <w:tab/>
        </w:r>
        <w:r w:rsidR="00464000">
          <w:rPr>
            <w:webHidden/>
          </w:rPr>
          <w:fldChar w:fldCharType="begin"/>
        </w:r>
        <w:r w:rsidR="00464000">
          <w:rPr>
            <w:webHidden/>
          </w:rPr>
          <w:instrText xml:space="preserve"> PAGEREF _Toc2157290 \h </w:instrText>
        </w:r>
        <w:r w:rsidR="00464000">
          <w:rPr>
            <w:webHidden/>
          </w:rPr>
        </w:r>
        <w:r w:rsidR="00464000">
          <w:rPr>
            <w:webHidden/>
          </w:rPr>
          <w:fldChar w:fldCharType="separate"/>
        </w:r>
        <w:r w:rsidR="00464000">
          <w:rPr>
            <w:webHidden/>
          </w:rPr>
          <w:t>29</w:t>
        </w:r>
        <w:r w:rsidR="00464000">
          <w:rPr>
            <w:webHidden/>
          </w:rPr>
          <w:fldChar w:fldCharType="end"/>
        </w:r>
      </w:hyperlink>
    </w:p>
    <w:p w14:paraId="72019090" w14:textId="77777777" w:rsidR="00464000" w:rsidRDefault="00ED351D">
      <w:pPr>
        <w:pStyle w:val="Kazalovsebine1"/>
        <w:rPr>
          <w:rFonts w:asciiTheme="minorHAnsi" w:eastAsiaTheme="minorEastAsia" w:hAnsiTheme="minorHAnsi" w:cstheme="minorBidi"/>
          <w:b w:val="0"/>
          <w:bCs w:val="0"/>
          <w:sz w:val="22"/>
          <w:szCs w:val="22"/>
          <w:lang w:eastAsia="sl-SI"/>
        </w:rPr>
      </w:pPr>
      <w:hyperlink w:anchor="_Toc2157291" w:history="1">
        <w:r w:rsidR="00464000" w:rsidRPr="00C62E5F">
          <w:rPr>
            <w:rStyle w:val="Hiperpovezava"/>
          </w:rPr>
          <w:t>V SKLEP</w:t>
        </w:r>
        <w:r w:rsidR="00464000">
          <w:rPr>
            <w:webHidden/>
          </w:rPr>
          <w:tab/>
        </w:r>
        <w:r w:rsidR="00464000">
          <w:rPr>
            <w:webHidden/>
          </w:rPr>
          <w:fldChar w:fldCharType="begin"/>
        </w:r>
        <w:r w:rsidR="00464000">
          <w:rPr>
            <w:webHidden/>
          </w:rPr>
          <w:instrText xml:space="preserve"> PAGEREF _Toc2157291 \h </w:instrText>
        </w:r>
        <w:r w:rsidR="00464000">
          <w:rPr>
            <w:webHidden/>
          </w:rPr>
        </w:r>
        <w:r w:rsidR="00464000">
          <w:rPr>
            <w:webHidden/>
          </w:rPr>
          <w:fldChar w:fldCharType="separate"/>
        </w:r>
        <w:r w:rsidR="00464000">
          <w:rPr>
            <w:webHidden/>
          </w:rPr>
          <w:t>48</w:t>
        </w:r>
        <w:r w:rsidR="00464000">
          <w:rPr>
            <w:webHidden/>
          </w:rPr>
          <w:fldChar w:fldCharType="end"/>
        </w:r>
      </w:hyperlink>
    </w:p>
    <w:p w14:paraId="35CAD737" w14:textId="096DCD64" w:rsidR="00082164" w:rsidRPr="006E2B4C" w:rsidRDefault="00082164" w:rsidP="00082164">
      <w:r w:rsidRPr="002B103F">
        <w:rPr>
          <w:rFonts w:ascii="Verdana" w:hAnsi="Verdana"/>
        </w:rPr>
        <w:fldChar w:fldCharType="end"/>
      </w:r>
      <w:r w:rsidRPr="006E2B4C">
        <w:tab/>
      </w:r>
    </w:p>
    <w:p w14:paraId="41AF1CCA" w14:textId="77777777" w:rsidR="00082164" w:rsidRDefault="00082164" w:rsidP="00082164"/>
    <w:p w14:paraId="75F059FB" w14:textId="77777777" w:rsidR="00082164" w:rsidRDefault="00082164" w:rsidP="00082164"/>
    <w:p w14:paraId="20B8E1E7" w14:textId="77777777" w:rsidR="00082164" w:rsidRDefault="00082164" w:rsidP="00082164"/>
    <w:p w14:paraId="6FBF2E29" w14:textId="77777777" w:rsidR="00082164" w:rsidRDefault="00082164" w:rsidP="00082164"/>
    <w:p w14:paraId="145AD388" w14:textId="77777777" w:rsidR="001C05E5" w:rsidRDefault="001C05E5" w:rsidP="00C96D02">
      <w:bookmarkStart w:id="2" w:name="_Toc321903650"/>
      <w:bookmarkStart w:id="3" w:name="_Toc321903849"/>
    </w:p>
    <w:p w14:paraId="7B71CCF6" w14:textId="77777777" w:rsidR="00E07F6C" w:rsidRPr="00E07F6C" w:rsidRDefault="00E07F6C" w:rsidP="00E07F6C"/>
    <w:p w14:paraId="082B3A8B" w14:textId="77777777" w:rsidR="00082164" w:rsidRPr="00C0437B" w:rsidRDefault="00C0437B" w:rsidP="00C0437B">
      <w:pPr>
        <w:pStyle w:val="Naslov"/>
        <w:rPr>
          <w:sz w:val="32"/>
        </w:rPr>
      </w:pPr>
      <w:bookmarkStart w:id="4" w:name="_Toc2157279"/>
      <w:r>
        <w:rPr>
          <w:sz w:val="32"/>
        </w:rPr>
        <w:lastRenderedPageBreak/>
        <w:t xml:space="preserve">I </w:t>
      </w:r>
      <w:r w:rsidR="00082164" w:rsidRPr="00C0437B">
        <w:rPr>
          <w:sz w:val="32"/>
        </w:rPr>
        <w:t>UVOD</w:t>
      </w:r>
      <w:bookmarkEnd w:id="4"/>
    </w:p>
    <w:p w14:paraId="7D71A4FC" w14:textId="77777777" w:rsidR="00082164" w:rsidRPr="006E2B4C" w:rsidRDefault="00082164" w:rsidP="00082164"/>
    <w:p w14:paraId="0BD3441F" w14:textId="77777777" w:rsidR="00082164" w:rsidRPr="006E2B4C" w:rsidRDefault="00082164" w:rsidP="00082164">
      <w:pPr>
        <w:pStyle w:val="Naslov3"/>
        <w:spacing w:before="0" w:after="150"/>
        <w:rPr>
          <w:rFonts w:ascii="Verdana" w:hAnsi="Verdana" w:cs="Arial"/>
          <w:bCs w:val="0"/>
          <w:color w:val="7030A0"/>
          <w:sz w:val="22"/>
          <w:szCs w:val="22"/>
        </w:rPr>
      </w:pPr>
      <w:bookmarkStart w:id="5" w:name="_Toc321903649"/>
      <w:r w:rsidRPr="006E2B4C">
        <w:rPr>
          <w:rFonts w:ascii="Verdana" w:hAnsi="Verdana" w:cs="Arial"/>
          <w:bCs w:val="0"/>
          <w:color w:val="7030A0"/>
          <w:sz w:val="22"/>
          <w:szCs w:val="22"/>
        </w:rPr>
        <w:t>Poslanstvo</w:t>
      </w:r>
    </w:p>
    <w:p w14:paraId="42E91461" w14:textId="77777777" w:rsidR="00082164" w:rsidRPr="00026BC5" w:rsidRDefault="00082164" w:rsidP="00082164">
      <w:pPr>
        <w:pStyle w:val="Navadensplet"/>
        <w:shd w:val="clear" w:color="auto" w:fill="F6F6F7"/>
        <w:spacing w:before="150" w:beforeAutospacing="0" w:after="150" w:afterAutospacing="0" w:line="345" w:lineRule="atLeast"/>
        <w:jc w:val="both"/>
        <w:rPr>
          <w:rFonts w:ascii="Verdana" w:hAnsi="Verdana"/>
          <w:sz w:val="22"/>
          <w:szCs w:val="22"/>
        </w:rPr>
      </w:pPr>
      <w:r w:rsidRPr="00026BC5">
        <w:rPr>
          <w:rFonts w:ascii="Verdana" w:hAnsi="Verdana"/>
          <w:sz w:val="22"/>
          <w:szCs w:val="22"/>
        </w:rPr>
        <w:t>Agencija skrbi za primerljivost in mednarodno prepoznavnost slovenskega visokošolskega prostora ter se zavzema za nenehno izboljševanje njegove kakovosti. Deluje vsebinsko in formalno odgovorno, strokovno in neodvisno ter svetovalno do vseh deležnikov v terciarnem izobraževanju v skladu z evropskimi in svetovnimi smermi razvoja.</w:t>
      </w:r>
    </w:p>
    <w:p w14:paraId="02BFB325" w14:textId="77777777" w:rsidR="0076284C" w:rsidRDefault="0076284C" w:rsidP="00C96D02"/>
    <w:p w14:paraId="0F48471F" w14:textId="77777777" w:rsidR="00082164" w:rsidRPr="006E2B4C" w:rsidRDefault="00082164" w:rsidP="00082164">
      <w:pPr>
        <w:pStyle w:val="Naslov3"/>
        <w:spacing w:before="0" w:after="150"/>
        <w:rPr>
          <w:rFonts w:ascii="Verdana" w:hAnsi="Verdana" w:cs="Arial"/>
          <w:bCs w:val="0"/>
          <w:color w:val="7030A0"/>
          <w:sz w:val="22"/>
          <w:szCs w:val="22"/>
        </w:rPr>
      </w:pPr>
      <w:r w:rsidRPr="006E2B4C">
        <w:rPr>
          <w:rFonts w:ascii="Verdana" w:hAnsi="Verdana" w:cs="Arial"/>
          <w:bCs w:val="0"/>
          <w:color w:val="7030A0"/>
          <w:sz w:val="22"/>
          <w:szCs w:val="22"/>
        </w:rPr>
        <w:t>Vizija</w:t>
      </w:r>
    </w:p>
    <w:p w14:paraId="62DD17F9" w14:textId="77777777" w:rsidR="00E07F6C" w:rsidRPr="00E07F6C" w:rsidRDefault="00082164" w:rsidP="00082164">
      <w:pPr>
        <w:jc w:val="both"/>
        <w:rPr>
          <w:rFonts w:ascii="Verdana" w:hAnsi="Verdana"/>
          <w:shd w:val="clear" w:color="auto" w:fill="F6F6F7"/>
        </w:rPr>
      </w:pPr>
      <w:r w:rsidRPr="00026BC5">
        <w:rPr>
          <w:rFonts w:ascii="Verdana" w:hAnsi="Verdana"/>
          <w:shd w:val="clear" w:color="auto" w:fill="F6F6F7"/>
        </w:rPr>
        <w:t>Agencija bo z aktivnim udejstvovanjem pri izvedbi procesov na področju zagotavljanja in izboljševanja kakovosti v visokem šolstvu spreminjala nacionalni in mednarodni visokošolski prostor.</w:t>
      </w:r>
    </w:p>
    <w:p w14:paraId="56EDA6A3" w14:textId="77777777" w:rsidR="00E07F6C" w:rsidRPr="00026BC5" w:rsidRDefault="00E07F6C" w:rsidP="00082164">
      <w:pPr>
        <w:jc w:val="both"/>
        <w:rPr>
          <w:rFonts w:ascii="Verdana" w:hAnsi="Verdana"/>
        </w:rPr>
      </w:pPr>
    </w:p>
    <w:p w14:paraId="761EACBA" w14:textId="77777777" w:rsidR="00082164" w:rsidRPr="00A83BF0" w:rsidRDefault="00D577A1" w:rsidP="00A83BF0">
      <w:pPr>
        <w:pStyle w:val="Naslov2"/>
      </w:pPr>
      <w:bookmarkStart w:id="6" w:name="_Toc2157280"/>
      <w:bookmarkEnd w:id="5"/>
      <w:r>
        <w:t>I.1</w:t>
      </w:r>
      <w:r w:rsidR="00082164" w:rsidRPr="00A83BF0">
        <w:t xml:space="preserve"> NOTRANJA ORGANIZACIJA AGENCIJE</w:t>
      </w:r>
      <w:bookmarkEnd w:id="6"/>
    </w:p>
    <w:p w14:paraId="11D562E5" w14:textId="77777777" w:rsidR="00082164" w:rsidRPr="00DA0561" w:rsidRDefault="00082164" w:rsidP="00082164">
      <w:pPr>
        <w:rPr>
          <w:rFonts w:ascii="Verdana" w:hAnsi="Verdana"/>
        </w:rPr>
      </w:pPr>
      <w:r w:rsidRPr="006E2B4C">
        <w:rPr>
          <w:rFonts w:ascii="Verdana" w:hAnsi="Verdana"/>
        </w:rPr>
        <w:t xml:space="preserve">  </w:t>
      </w:r>
    </w:p>
    <w:p w14:paraId="423FA077" w14:textId="77777777" w:rsidR="00082164" w:rsidRPr="006E2B4C" w:rsidRDefault="00082164" w:rsidP="00082164">
      <w:r>
        <w:rPr>
          <w:noProof/>
          <w:lang w:eastAsia="sl-SI"/>
        </w:rPr>
        <w:drawing>
          <wp:inline distT="0" distB="0" distL="0" distR="0" wp14:anchorId="6D402F9D" wp14:editId="526F95BE">
            <wp:extent cx="5342890" cy="3206115"/>
            <wp:effectExtent l="0" t="0" r="0" b="0"/>
            <wp:docPr id="1" name="Slika 1" descr="Organi agencije so svet agencije, direktor in pritoÅ¾bena komisija. Agencijo sestavljata tri notranje organizacijske enote, in sicer: sektor za kakovost, sektor za analize, mednarodno sodelovanje in informatizacijo agencije ter sektor za sploÅ¡ne zad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 agencije so svet agencije, direktor in pritoÅ¾bena komisija. Agencijo sestavljata tri notranje organizacijske enote, in sicer: sektor za kakovost, sektor za analize, mednarodno sodelovanje in informatizacijo agencije ter sektor za sploÅ¡ne zade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2890" cy="3206115"/>
                    </a:xfrm>
                    <a:prstGeom prst="rect">
                      <a:avLst/>
                    </a:prstGeom>
                    <a:noFill/>
                    <a:ln>
                      <a:noFill/>
                    </a:ln>
                  </pic:spPr>
                </pic:pic>
              </a:graphicData>
            </a:graphic>
          </wp:inline>
        </w:drawing>
      </w:r>
    </w:p>
    <w:p w14:paraId="1DFBD4B1" w14:textId="77777777" w:rsidR="00082164" w:rsidRPr="006E2B4C" w:rsidRDefault="00082164" w:rsidP="00082164">
      <w:pPr>
        <w:jc w:val="both"/>
        <w:rPr>
          <w:rFonts w:ascii="Verdana" w:eastAsia="Times New Roman" w:hAnsi="Verdana"/>
          <w:color w:val="000000"/>
        </w:rPr>
      </w:pPr>
      <w:bookmarkStart w:id="7" w:name="_Toc523466330"/>
      <w:bookmarkStart w:id="8" w:name="_Toc523466524"/>
      <w:bookmarkEnd w:id="7"/>
      <w:bookmarkEnd w:id="8"/>
      <w:r w:rsidRPr="006E2B4C">
        <w:rPr>
          <w:rFonts w:ascii="Verdana" w:eastAsia="Times New Roman" w:hAnsi="Verdana"/>
          <w:color w:val="000000"/>
        </w:rPr>
        <w:lastRenderedPageBreak/>
        <w:t xml:space="preserve">Agencija se je </w:t>
      </w:r>
      <w:r>
        <w:rPr>
          <w:rFonts w:ascii="Verdana" w:eastAsia="Times New Roman" w:hAnsi="Verdana"/>
          <w:color w:val="000000"/>
        </w:rPr>
        <w:t xml:space="preserve">jeseni 2018 </w:t>
      </w:r>
      <w:r w:rsidRPr="006E2B4C">
        <w:rPr>
          <w:rFonts w:ascii="Verdana" w:eastAsia="Times New Roman" w:hAnsi="Verdana"/>
          <w:color w:val="000000"/>
        </w:rPr>
        <w:t xml:space="preserve">organizacijsko preoblikovala v tri sektorje tako, da </w:t>
      </w:r>
      <w:r>
        <w:rPr>
          <w:rFonts w:ascii="Verdana" w:eastAsia="Times New Roman" w:hAnsi="Verdana"/>
          <w:color w:val="000000"/>
        </w:rPr>
        <w:t>se je</w:t>
      </w:r>
      <w:r w:rsidRPr="006E2B4C">
        <w:rPr>
          <w:rFonts w:ascii="Verdana" w:eastAsia="Times New Roman" w:hAnsi="Verdana"/>
          <w:color w:val="000000"/>
        </w:rPr>
        <w:t xml:space="preserve"> sektor za kakovost razdelil na dva: </w:t>
      </w:r>
      <w:r w:rsidRPr="006E2B4C">
        <w:rPr>
          <w:rFonts w:ascii="Verdana" w:eastAsia="Times New Roman" w:hAnsi="Verdana"/>
          <w:b/>
          <w:color w:val="000000"/>
        </w:rPr>
        <w:t>sektor za kakovost</w:t>
      </w:r>
      <w:r w:rsidRPr="006E2B4C">
        <w:rPr>
          <w:rFonts w:ascii="Verdana" w:eastAsia="Times New Roman" w:hAnsi="Verdana"/>
          <w:color w:val="000000"/>
        </w:rPr>
        <w:t xml:space="preserve"> ter </w:t>
      </w:r>
      <w:r w:rsidRPr="006E2B4C">
        <w:rPr>
          <w:rFonts w:ascii="Verdana" w:eastAsia="Times New Roman" w:hAnsi="Verdana"/>
          <w:b/>
          <w:color w:val="000000"/>
        </w:rPr>
        <w:t xml:space="preserve">sektor za analize, mednarodno sodelovanje in informatizacijo agencije; </w:t>
      </w:r>
      <w:r w:rsidRPr="006E2B4C">
        <w:rPr>
          <w:rFonts w:ascii="Verdana" w:eastAsia="Times New Roman" w:hAnsi="Verdana"/>
          <w:color w:val="000000"/>
        </w:rPr>
        <w:t xml:space="preserve">skladno s tem so se porazdelila tudi delovna področja in naloge razdeljenega sektorja ter dodale nekatere nove. </w:t>
      </w:r>
      <w:r w:rsidRPr="00B8505D">
        <w:rPr>
          <w:rFonts w:ascii="Verdana" w:eastAsia="Times New Roman" w:hAnsi="Verdana"/>
          <w:b/>
          <w:color w:val="000000"/>
        </w:rPr>
        <w:t>Se</w:t>
      </w:r>
      <w:r w:rsidRPr="006E2B4C">
        <w:rPr>
          <w:rFonts w:ascii="Verdana" w:eastAsia="Times New Roman" w:hAnsi="Verdana"/>
          <w:b/>
          <w:color w:val="000000"/>
        </w:rPr>
        <w:t>ktor za splošne zadeve</w:t>
      </w:r>
      <w:r>
        <w:rPr>
          <w:rFonts w:ascii="Verdana" w:eastAsia="Times New Roman" w:hAnsi="Verdana"/>
          <w:b/>
          <w:color w:val="000000"/>
        </w:rPr>
        <w:t xml:space="preserve"> </w:t>
      </w:r>
      <w:r w:rsidRPr="00B8505D">
        <w:rPr>
          <w:rFonts w:ascii="Verdana" w:eastAsia="Times New Roman" w:hAnsi="Verdana"/>
          <w:color w:val="000000"/>
        </w:rPr>
        <w:t>se ni spremenil.</w:t>
      </w:r>
      <w:r>
        <w:rPr>
          <w:rFonts w:ascii="Verdana" w:eastAsia="Times New Roman" w:hAnsi="Verdana"/>
          <w:b/>
          <w:color w:val="000000"/>
        </w:rPr>
        <w:t xml:space="preserve"> </w:t>
      </w:r>
      <w:r w:rsidRPr="006E2B4C">
        <w:rPr>
          <w:rFonts w:ascii="Verdana" w:eastAsia="Times New Roman" w:hAnsi="Verdana"/>
          <w:color w:val="000000"/>
        </w:rPr>
        <w:t>Vsak sektor ima svojega vodjo</w:t>
      </w:r>
      <w:r w:rsidR="00D40E90">
        <w:rPr>
          <w:rFonts w:ascii="Verdana" w:eastAsia="Times New Roman" w:hAnsi="Verdana"/>
          <w:color w:val="000000"/>
        </w:rPr>
        <w:t>, direktor agencije pa svojo namestnico</w:t>
      </w:r>
      <w:r w:rsidRPr="006E2B4C">
        <w:rPr>
          <w:rFonts w:ascii="Verdana" w:eastAsia="Times New Roman" w:hAnsi="Verdana"/>
          <w:color w:val="000000"/>
        </w:rPr>
        <w:t>.</w:t>
      </w:r>
    </w:p>
    <w:p w14:paraId="611B4D83" w14:textId="77777777" w:rsidR="00082164" w:rsidRPr="00B8505D" w:rsidRDefault="00082164" w:rsidP="00082164">
      <w:pPr>
        <w:spacing w:after="0"/>
        <w:jc w:val="both"/>
        <w:rPr>
          <w:rFonts w:ascii="Verdana" w:eastAsia="Times New Roman" w:hAnsi="Verdana"/>
          <w:color w:val="000000"/>
        </w:rPr>
      </w:pPr>
      <w:r w:rsidRPr="006E2B4C">
        <w:rPr>
          <w:rFonts w:ascii="Verdana" w:eastAsia="Times New Roman" w:hAnsi="Verdana"/>
          <w:color w:val="000000"/>
        </w:rPr>
        <w:t xml:space="preserve">Značilnost delovanja agencije oziroma nalog, ki jih opravlja, je, da se med seboj prepletajo oziroma so vsebinsko tesno povezane. Zato morajo </w:t>
      </w:r>
      <w:r>
        <w:rPr>
          <w:rFonts w:ascii="Verdana" w:eastAsia="Times New Roman" w:hAnsi="Verdana"/>
          <w:color w:val="000000"/>
        </w:rPr>
        <w:t xml:space="preserve">posamezne naloge </w:t>
      </w:r>
      <w:r w:rsidRPr="006E2B4C">
        <w:rPr>
          <w:rFonts w:ascii="Verdana" w:eastAsia="Times New Roman" w:hAnsi="Verdana"/>
          <w:color w:val="000000"/>
        </w:rPr>
        <w:t>velikokrat opravljati strokovni delavci iz različnih sektorjev. Temeljno dejavnost agencije, akreditacijske in evalvacijske postopke, vodi</w:t>
      </w:r>
      <w:r>
        <w:rPr>
          <w:rFonts w:ascii="Verdana" w:eastAsia="Times New Roman" w:hAnsi="Verdana"/>
          <w:color w:val="000000"/>
        </w:rPr>
        <w:t>jo</w:t>
      </w:r>
      <w:r w:rsidRPr="006E2B4C">
        <w:rPr>
          <w:rFonts w:ascii="Verdana" w:eastAsia="Times New Roman" w:hAnsi="Verdana"/>
          <w:color w:val="000000"/>
        </w:rPr>
        <w:t xml:space="preserve"> tako delavci iz </w:t>
      </w:r>
      <w:r>
        <w:rPr>
          <w:rFonts w:ascii="Verdana" w:eastAsia="Times New Roman" w:hAnsi="Verdana"/>
          <w:color w:val="000000"/>
        </w:rPr>
        <w:t>sektorja za kakovost</w:t>
      </w:r>
      <w:r w:rsidRPr="006E2B4C">
        <w:rPr>
          <w:rFonts w:ascii="Verdana" w:eastAsia="Times New Roman" w:hAnsi="Verdana"/>
          <w:color w:val="000000"/>
        </w:rPr>
        <w:t xml:space="preserve"> kot iz sektorja</w:t>
      </w:r>
      <w:r>
        <w:rPr>
          <w:rFonts w:ascii="Verdana" w:eastAsia="Times New Roman" w:hAnsi="Verdana"/>
          <w:color w:val="000000"/>
        </w:rPr>
        <w:t xml:space="preserve"> </w:t>
      </w:r>
      <w:r w:rsidRPr="00B8505D">
        <w:rPr>
          <w:rFonts w:ascii="Verdana" w:eastAsia="Times New Roman" w:hAnsi="Verdana"/>
          <w:color w:val="000000"/>
        </w:rPr>
        <w:t>za analize, mednarodno sodelovanje in informatizacijo agencije.</w:t>
      </w:r>
    </w:p>
    <w:p w14:paraId="6F7971CE" w14:textId="77777777" w:rsidR="00082164" w:rsidRPr="006E2B4C" w:rsidRDefault="00082164" w:rsidP="00082164">
      <w:pPr>
        <w:spacing w:after="0"/>
        <w:jc w:val="both"/>
        <w:rPr>
          <w:rFonts w:ascii="Verdana" w:eastAsia="Times New Roman" w:hAnsi="Verdana"/>
          <w:color w:val="000000"/>
        </w:rPr>
      </w:pPr>
    </w:p>
    <w:p w14:paraId="210FD629" w14:textId="77777777" w:rsidR="00082164" w:rsidRPr="00D40E90" w:rsidRDefault="00082164" w:rsidP="00D40E90">
      <w:pPr>
        <w:spacing w:after="0"/>
        <w:jc w:val="both"/>
        <w:rPr>
          <w:rFonts w:ascii="Verdana" w:eastAsia="Times New Roman" w:hAnsi="Verdana"/>
          <w:color w:val="000000"/>
        </w:rPr>
      </w:pPr>
      <w:r w:rsidRPr="006E2B4C">
        <w:rPr>
          <w:rFonts w:ascii="Verdana" w:eastAsia="Times New Roman" w:hAnsi="Verdana"/>
          <w:color w:val="000000"/>
        </w:rPr>
        <w:t xml:space="preserve">Agencija ima tudi t. i. </w:t>
      </w:r>
      <w:r w:rsidRPr="00336B9C">
        <w:rPr>
          <w:rFonts w:ascii="Verdana" w:eastAsia="Times New Roman" w:hAnsi="Verdana"/>
          <w:color w:val="000000"/>
        </w:rPr>
        <w:t>krovne naloge, ki niso razporejene po sektorjih</w:t>
      </w:r>
      <w:r w:rsidRPr="006E2B4C">
        <w:rPr>
          <w:rFonts w:ascii="Verdana" w:eastAsia="Times New Roman" w:hAnsi="Verdana"/>
          <w:color w:val="000000"/>
        </w:rPr>
        <w:t>; mednje spadajo:</w:t>
      </w:r>
      <w:r w:rsidR="00D40E90">
        <w:rPr>
          <w:rFonts w:ascii="Verdana" w:eastAsia="Times New Roman" w:hAnsi="Verdana"/>
          <w:color w:val="000000"/>
        </w:rPr>
        <w:t xml:space="preserve"> </w:t>
      </w:r>
      <w:r w:rsidRPr="00D40E90">
        <w:rPr>
          <w:rFonts w:ascii="Verdana" w:eastAsia="Times New Roman" w:hAnsi="Verdana"/>
          <w:color w:val="000000"/>
        </w:rPr>
        <w:t>strategija agencije,</w:t>
      </w:r>
      <w:r w:rsidR="00D40E90">
        <w:rPr>
          <w:rFonts w:ascii="Verdana" w:eastAsia="Times New Roman" w:hAnsi="Verdana"/>
          <w:color w:val="000000"/>
        </w:rPr>
        <w:t xml:space="preserve"> </w:t>
      </w:r>
      <w:r w:rsidRPr="00D40E90">
        <w:rPr>
          <w:rFonts w:ascii="Verdana" w:eastAsia="Times New Roman" w:hAnsi="Verdana"/>
          <w:color w:val="000000"/>
        </w:rPr>
        <w:t>letni delovni in finančni načrt agencije,</w:t>
      </w:r>
      <w:r w:rsidR="00D40E90">
        <w:rPr>
          <w:rFonts w:ascii="Verdana" w:eastAsia="Times New Roman" w:hAnsi="Verdana"/>
          <w:color w:val="000000"/>
        </w:rPr>
        <w:t xml:space="preserve"> </w:t>
      </w:r>
      <w:r w:rsidRPr="00D40E90">
        <w:rPr>
          <w:rFonts w:ascii="Verdana" w:eastAsia="Times New Roman" w:hAnsi="Verdana"/>
          <w:color w:val="000000"/>
        </w:rPr>
        <w:t>poročilo o delu in poslovanju agencije,</w:t>
      </w:r>
      <w:r w:rsidR="00D40E90">
        <w:rPr>
          <w:rFonts w:ascii="Verdana" w:eastAsia="Times New Roman" w:hAnsi="Verdana"/>
          <w:color w:val="000000"/>
        </w:rPr>
        <w:t xml:space="preserve"> </w:t>
      </w:r>
      <w:r w:rsidRPr="00D40E90">
        <w:rPr>
          <w:rFonts w:ascii="Verdana" w:eastAsia="Times New Roman" w:hAnsi="Verdana"/>
          <w:color w:val="000000"/>
        </w:rPr>
        <w:t>samoevalvacijsko poročilo,</w:t>
      </w:r>
      <w:r w:rsidR="00D40E90">
        <w:rPr>
          <w:rFonts w:ascii="Verdana" w:eastAsia="Times New Roman" w:hAnsi="Verdana"/>
          <w:color w:val="000000"/>
        </w:rPr>
        <w:t xml:space="preserve"> </w:t>
      </w:r>
      <w:r w:rsidRPr="00D40E90">
        <w:rPr>
          <w:rFonts w:ascii="Verdana" w:eastAsia="Times New Roman" w:hAnsi="Verdana"/>
          <w:color w:val="000000"/>
        </w:rPr>
        <w:t>sodelovanje v medresorskih delovnih skupinah ipd.</w:t>
      </w:r>
    </w:p>
    <w:p w14:paraId="7797B324" w14:textId="77777777" w:rsidR="00082164" w:rsidRPr="006E2B4C" w:rsidRDefault="00082164" w:rsidP="00082164">
      <w:pPr>
        <w:spacing w:after="0"/>
        <w:jc w:val="both"/>
        <w:rPr>
          <w:rFonts w:ascii="Verdana" w:eastAsia="Times New Roman" w:hAnsi="Verdana"/>
          <w:b/>
          <w:color w:val="000000"/>
        </w:rPr>
      </w:pPr>
    </w:p>
    <w:p w14:paraId="11C05A87" w14:textId="2FC918A6" w:rsidR="00082164" w:rsidRPr="006E2B4C" w:rsidRDefault="00082164" w:rsidP="00082164">
      <w:pPr>
        <w:spacing w:after="0"/>
        <w:jc w:val="both"/>
        <w:rPr>
          <w:rFonts w:ascii="Verdana" w:eastAsia="Times New Roman" w:hAnsi="Verdana"/>
          <w:color w:val="000000"/>
        </w:rPr>
      </w:pPr>
      <w:bookmarkStart w:id="9" w:name="_Toc523466528"/>
      <w:r w:rsidRPr="00484FBF">
        <w:rPr>
          <w:rFonts w:ascii="Verdana" w:eastAsia="Times New Roman" w:hAnsi="Verdana"/>
          <w:b/>
          <w:color w:val="000000"/>
        </w:rPr>
        <w:t>Temeljna delovna področja</w:t>
      </w:r>
      <w:r w:rsidR="00376B80" w:rsidRPr="00484FBF">
        <w:rPr>
          <w:rFonts w:ascii="Verdana" w:eastAsia="Times New Roman" w:hAnsi="Verdana"/>
          <w:b/>
          <w:color w:val="000000"/>
        </w:rPr>
        <w:t xml:space="preserve"> in naloge</w:t>
      </w:r>
      <w:r w:rsidRPr="00484FBF">
        <w:rPr>
          <w:rFonts w:ascii="Verdana" w:eastAsia="Times New Roman" w:hAnsi="Verdana"/>
          <w:b/>
          <w:color w:val="000000"/>
        </w:rPr>
        <w:t xml:space="preserve"> po sektorjih</w:t>
      </w:r>
      <w:r w:rsidR="00376B80">
        <w:rPr>
          <w:rFonts w:ascii="Verdana" w:eastAsia="Times New Roman" w:hAnsi="Verdana"/>
          <w:color w:val="000000"/>
        </w:rPr>
        <w:t>:</w:t>
      </w:r>
      <w:r w:rsidR="00D40E90">
        <w:rPr>
          <w:rFonts w:ascii="Verdana" w:eastAsia="Times New Roman" w:hAnsi="Verdana"/>
          <w:color w:val="000000"/>
        </w:rPr>
        <w:t xml:space="preserve"> </w:t>
      </w:r>
      <w:bookmarkEnd w:id="9"/>
    </w:p>
    <w:p w14:paraId="1B5D96A1" w14:textId="77777777" w:rsidR="00082164" w:rsidRPr="006E2B4C" w:rsidRDefault="00082164" w:rsidP="00082164">
      <w:pPr>
        <w:spacing w:after="0"/>
        <w:jc w:val="both"/>
        <w:rPr>
          <w:rFonts w:ascii="Verdana" w:eastAsia="Times New Roman" w:hAnsi="Verdana"/>
          <w:color w:val="000000"/>
        </w:rPr>
      </w:pPr>
    </w:p>
    <w:tbl>
      <w:tblPr>
        <w:tblStyle w:val="Tabelamrea"/>
        <w:tblW w:w="10065" w:type="dxa"/>
        <w:tblInd w:w="-176" w:type="dxa"/>
        <w:tblLook w:val="04A0" w:firstRow="1" w:lastRow="0" w:firstColumn="1" w:lastColumn="0" w:noHBand="0" w:noVBand="1"/>
      </w:tblPr>
      <w:tblGrid>
        <w:gridCol w:w="4537"/>
        <w:gridCol w:w="5528"/>
      </w:tblGrid>
      <w:tr w:rsidR="00406A3D" w:rsidRPr="001345BC" w14:paraId="2BBF1BE6" w14:textId="77777777" w:rsidTr="00E072DF">
        <w:trPr>
          <w:trHeight w:val="255"/>
        </w:trPr>
        <w:tc>
          <w:tcPr>
            <w:tcW w:w="10065" w:type="dxa"/>
            <w:gridSpan w:val="2"/>
            <w:shd w:val="clear" w:color="auto" w:fill="C6D9F1" w:themeFill="text2" w:themeFillTint="33"/>
            <w:hideMark/>
          </w:tcPr>
          <w:p w14:paraId="697EB1E8" w14:textId="77777777" w:rsidR="00431780" w:rsidRDefault="00431780" w:rsidP="00E072DF">
            <w:pPr>
              <w:jc w:val="center"/>
              <w:rPr>
                <w:rFonts w:ascii="Verdana" w:hAnsi="Verdana"/>
                <w:b/>
                <w:bCs/>
                <w:sz w:val="20"/>
                <w:szCs w:val="20"/>
              </w:rPr>
            </w:pPr>
          </w:p>
          <w:p w14:paraId="3C7C1096" w14:textId="77777777" w:rsidR="00406A3D" w:rsidRDefault="00406A3D" w:rsidP="00E072DF">
            <w:pPr>
              <w:jc w:val="center"/>
              <w:rPr>
                <w:rFonts w:ascii="Verdana" w:hAnsi="Verdana"/>
                <w:b/>
                <w:bCs/>
                <w:sz w:val="20"/>
                <w:szCs w:val="20"/>
              </w:rPr>
            </w:pPr>
            <w:r w:rsidRPr="001345BC">
              <w:rPr>
                <w:rFonts w:ascii="Verdana" w:hAnsi="Verdana"/>
                <w:b/>
                <w:bCs/>
                <w:sz w:val="20"/>
                <w:szCs w:val="20"/>
              </w:rPr>
              <w:t>KROVNE NALOGE AGENCIJE</w:t>
            </w:r>
          </w:p>
          <w:p w14:paraId="2AE4EF5A" w14:textId="6B319DC6" w:rsidR="00431780" w:rsidRPr="001345BC" w:rsidRDefault="00431780" w:rsidP="00E072DF">
            <w:pPr>
              <w:jc w:val="center"/>
              <w:rPr>
                <w:rFonts w:ascii="Verdana" w:hAnsi="Verdana"/>
                <w:b/>
                <w:bCs/>
                <w:sz w:val="20"/>
                <w:szCs w:val="20"/>
              </w:rPr>
            </w:pPr>
          </w:p>
        </w:tc>
      </w:tr>
      <w:tr w:rsidR="00431780" w:rsidRPr="00BF6FA0" w14:paraId="6278FC6D" w14:textId="77777777" w:rsidTr="00E072DF">
        <w:trPr>
          <w:trHeight w:val="255"/>
        </w:trPr>
        <w:tc>
          <w:tcPr>
            <w:tcW w:w="10065" w:type="dxa"/>
            <w:gridSpan w:val="2"/>
            <w:shd w:val="clear" w:color="auto" w:fill="C6D9F1" w:themeFill="text2" w:themeFillTint="33"/>
            <w:hideMark/>
          </w:tcPr>
          <w:p w14:paraId="0ECCD0F5" w14:textId="77777777" w:rsidR="00431780" w:rsidRPr="00BF6FA0" w:rsidRDefault="00431780" w:rsidP="00580769">
            <w:pPr>
              <w:rPr>
                <w:rFonts w:ascii="Verdana" w:eastAsia="Times New Roman" w:hAnsi="Verdana" w:cs="Times New Roman"/>
                <w:b/>
                <w:bCs/>
                <w:color w:val="000000"/>
                <w:sz w:val="20"/>
                <w:szCs w:val="20"/>
                <w:lang w:eastAsia="sl-SI"/>
              </w:rPr>
            </w:pPr>
            <w:r w:rsidRPr="00BF6FA0">
              <w:rPr>
                <w:rFonts w:ascii="Verdana" w:eastAsia="Times New Roman" w:hAnsi="Verdana" w:cs="Times New Roman"/>
                <w:b/>
                <w:bCs/>
                <w:color w:val="000000"/>
                <w:sz w:val="20"/>
                <w:szCs w:val="20"/>
                <w:lang w:eastAsia="sl-SI"/>
              </w:rPr>
              <w:t>koordinira: namestnica direktorja Tatjana Debevec</w:t>
            </w:r>
          </w:p>
        </w:tc>
      </w:tr>
      <w:tr w:rsidR="00431780" w:rsidRPr="001345BC" w14:paraId="59060E5F" w14:textId="77777777" w:rsidTr="00E072DF">
        <w:trPr>
          <w:trHeight w:val="309"/>
        </w:trPr>
        <w:tc>
          <w:tcPr>
            <w:tcW w:w="10065" w:type="dxa"/>
            <w:gridSpan w:val="2"/>
            <w:hideMark/>
          </w:tcPr>
          <w:p w14:paraId="42B42C1F" w14:textId="77777777" w:rsidR="00431780" w:rsidRPr="001345BC" w:rsidRDefault="00431780" w:rsidP="00406A3D">
            <w:pPr>
              <w:rPr>
                <w:rFonts w:ascii="Verdana" w:hAnsi="Verdana"/>
                <w:sz w:val="20"/>
                <w:szCs w:val="20"/>
              </w:rPr>
            </w:pPr>
            <w:r w:rsidRPr="001345BC">
              <w:rPr>
                <w:rFonts w:ascii="Verdana" w:hAnsi="Verdana"/>
                <w:sz w:val="20"/>
                <w:szCs w:val="20"/>
              </w:rPr>
              <w:t>Strategija agencije</w:t>
            </w:r>
          </w:p>
          <w:p w14:paraId="14BE0658" w14:textId="0A60E815" w:rsidR="00431780" w:rsidRPr="001345BC" w:rsidRDefault="00431780" w:rsidP="00406A3D">
            <w:pPr>
              <w:rPr>
                <w:rFonts w:ascii="Verdana" w:hAnsi="Verdana"/>
                <w:b/>
                <w:bCs/>
                <w:sz w:val="20"/>
                <w:szCs w:val="20"/>
              </w:rPr>
            </w:pPr>
            <w:r w:rsidRPr="001345BC">
              <w:rPr>
                <w:rFonts w:ascii="Verdana" w:hAnsi="Verdana"/>
                <w:b/>
                <w:bCs/>
                <w:sz w:val="20"/>
                <w:szCs w:val="20"/>
              </w:rPr>
              <w:t> </w:t>
            </w:r>
          </w:p>
        </w:tc>
      </w:tr>
      <w:tr w:rsidR="00431780" w:rsidRPr="001345BC" w14:paraId="02A9CA84" w14:textId="77777777" w:rsidTr="00580769">
        <w:trPr>
          <w:trHeight w:val="255"/>
        </w:trPr>
        <w:tc>
          <w:tcPr>
            <w:tcW w:w="10065" w:type="dxa"/>
            <w:gridSpan w:val="2"/>
            <w:hideMark/>
          </w:tcPr>
          <w:p w14:paraId="6E418A96" w14:textId="77777777" w:rsidR="00431780" w:rsidRPr="001345BC" w:rsidRDefault="00431780" w:rsidP="00406A3D">
            <w:pPr>
              <w:rPr>
                <w:rFonts w:ascii="Verdana" w:hAnsi="Verdana"/>
                <w:sz w:val="20"/>
                <w:szCs w:val="20"/>
              </w:rPr>
            </w:pPr>
            <w:r w:rsidRPr="001345BC">
              <w:rPr>
                <w:rFonts w:ascii="Verdana" w:hAnsi="Verdana"/>
                <w:sz w:val="20"/>
                <w:szCs w:val="20"/>
              </w:rPr>
              <w:t>Letni delovni in finančni načrti agencije; z akcijskimi načrti</w:t>
            </w:r>
          </w:p>
          <w:p w14:paraId="4B4073DD" w14:textId="5480DA3F" w:rsidR="00431780" w:rsidRPr="001345BC" w:rsidRDefault="00431780" w:rsidP="00406A3D">
            <w:pPr>
              <w:rPr>
                <w:rFonts w:ascii="Verdana" w:hAnsi="Verdana"/>
                <w:sz w:val="20"/>
                <w:szCs w:val="20"/>
              </w:rPr>
            </w:pPr>
            <w:r w:rsidRPr="001345BC">
              <w:rPr>
                <w:rFonts w:ascii="Verdana" w:hAnsi="Verdana"/>
                <w:sz w:val="20"/>
                <w:szCs w:val="20"/>
              </w:rPr>
              <w:t> </w:t>
            </w:r>
          </w:p>
        </w:tc>
      </w:tr>
      <w:tr w:rsidR="00431780" w:rsidRPr="001345BC" w14:paraId="7D7EAD0C" w14:textId="77777777" w:rsidTr="00580769">
        <w:trPr>
          <w:trHeight w:val="255"/>
        </w:trPr>
        <w:tc>
          <w:tcPr>
            <w:tcW w:w="10065" w:type="dxa"/>
            <w:gridSpan w:val="2"/>
            <w:hideMark/>
          </w:tcPr>
          <w:p w14:paraId="22D10A5B" w14:textId="77777777" w:rsidR="00431780" w:rsidRPr="001345BC" w:rsidRDefault="00431780" w:rsidP="00406A3D">
            <w:pPr>
              <w:rPr>
                <w:rFonts w:ascii="Verdana" w:hAnsi="Verdana"/>
                <w:sz w:val="20"/>
                <w:szCs w:val="20"/>
              </w:rPr>
            </w:pPr>
            <w:r w:rsidRPr="001345BC">
              <w:rPr>
                <w:rFonts w:ascii="Verdana" w:hAnsi="Verdana"/>
                <w:sz w:val="20"/>
                <w:szCs w:val="20"/>
              </w:rPr>
              <w:t>Letna poročila o delu in poslovanju agencije</w:t>
            </w:r>
          </w:p>
          <w:p w14:paraId="71E51C61" w14:textId="5D33AF18" w:rsidR="00431780" w:rsidRPr="001345BC" w:rsidRDefault="00431780" w:rsidP="00406A3D">
            <w:pPr>
              <w:rPr>
                <w:rFonts w:ascii="Verdana" w:hAnsi="Verdana"/>
                <w:sz w:val="20"/>
                <w:szCs w:val="20"/>
              </w:rPr>
            </w:pPr>
            <w:r w:rsidRPr="001345BC">
              <w:rPr>
                <w:rFonts w:ascii="Verdana" w:hAnsi="Verdana"/>
                <w:sz w:val="20"/>
                <w:szCs w:val="20"/>
              </w:rPr>
              <w:t> </w:t>
            </w:r>
          </w:p>
        </w:tc>
      </w:tr>
      <w:tr w:rsidR="00431780" w:rsidRPr="001345BC" w14:paraId="1C7041F0" w14:textId="77777777" w:rsidTr="00580769">
        <w:trPr>
          <w:trHeight w:val="255"/>
        </w:trPr>
        <w:tc>
          <w:tcPr>
            <w:tcW w:w="10065" w:type="dxa"/>
            <w:gridSpan w:val="2"/>
            <w:hideMark/>
          </w:tcPr>
          <w:p w14:paraId="033EACF8" w14:textId="77777777" w:rsidR="00431780" w:rsidRPr="001345BC" w:rsidRDefault="00431780" w:rsidP="00406A3D">
            <w:pPr>
              <w:rPr>
                <w:rFonts w:ascii="Verdana" w:hAnsi="Verdana"/>
                <w:sz w:val="20"/>
                <w:szCs w:val="20"/>
              </w:rPr>
            </w:pPr>
            <w:r w:rsidRPr="001345BC">
              <w:rPr>
                <w:rFonts w:ascii="Verdana" w:hAnsi="Verdana"/>
                <w:sz w:val="20"/>
                <w:szCs w:val="20"/>
              </w:rPr>
              <w:t>Samoevalvacija agencije</w:t>
            </w:r>
          </w:p>
          <w:p w14:paraId="3FC8FBCA" w14:textId="48B5D87A" w:rsidR="00431780" w:rsidRPr="001345BC" w:rsidRDefault="00431780" w:rsidP="00406A3D">
            <w:pPr>
              <w:rPr>
                <w:rFonts w:ascii="Verdana" w:hAnsi="Verdana"/>
                <w:sz w:val="20"/>
                <w:szCs w:val="20"/>
              </w:rPr>
            </w:pPr>
            <w:r w:rsidRPr="001345BC">
              <w:rPr>
                <w:rFonts w:ascii="Verdana" w:hAnsi="Verdana"/>
                <w:sz w:val="20"/>
                <w:szCs w:val="20"/>
              </w:rPr>
              <w:t> </w:t>
            </w:r>
          </w:p>
        </w:tc>
      </w:tr>
      <w:tr w:rsidR="00431780" w:rsidRPr="001345BC" w14:paraId="2992E976" w14:textId="77777777" w:rsidTr="00580769">
        <w:trPr>
          <w:trHeight w:val="255"/>
        </w:trPr>
        <w:tc>
          <w:tcPr>
            <w:tcW w:w="10065" w:type="dxa"/>
            <w:gridSpan w:val="2"/>
            <w:hideMark/>
          </w:tcPr>
          <w:p w14:paraId="3F5AFB45" w14:textId="77777777" w:rsidR="00431780" w:rsidRPr="001345BC" w:rsidRDefault="00431780" w:rsidP="00406A3D">
            <w:pPr>
              <w:rPr>
                <w:rFonts w:ascii="Verdana" w:hAnsi="Verdana"/>
                <w:sz w:val="20"/>
                <w:szCs w:val="20"/>
              </w:rPr>
            </w:pPr>
            <w:r w:rsidRPr="001345BC">
              <w:rPr>
                <w:rFonts w:ascii="Verdana" w:hAnsi="Verdana"/>
                <w:sz w:val="20"/>
                <w:szCs w:val="20"/>
              </w:rPr>
              <w:t>Sodelovanje v medresorskih delovnih skupinah za sistemske spremembe</w:t>
            </w:r>
          </w:p>
          <w:p w14:paraId="682D368F" w14:textId="43195EE9" w:rsidR="00431780" w:rsidRPr="001345BC" w:rsidRDefault="00431780" w:rsidP="00406A3D">
            <w:pPr>
              <w:rPr>
                <w:rFonts w:ascii="Verdana" w:hAnsi="Verdana"/>
                <w:sz w:val="20"/>
                <w:szCs w:val="20"/>
              </w:rPr>
            </w:pPr>
            <w:r w:rsidRPr="001345BC">
              <w:rPr>
                <w:rFonts w:ascii="Verdana" w:hAnsi="Verdana"/>
                <w:sz w:val="20"/>
                <w:szCs w:val="20"/>
              </w:rPr>
              <w:t> </w:t>
            </w:r>
          </w:p>
        </w:tc>
      </w:tr>
      <w:tr w:rsidR="006C6704" w:rsidRPr="00E525AF" w14:paraId="719AF5B9" w14:textId="77777777" w:rsidTr="00E072DF">
        <w:trPr>
          <w:trHeight w:val="547"/>
        </w:trPr>
        <w:tc>
          <w:tcPr>
            <w:tcW w:w="10065" w:type="dxa"/>
            <w:gridSpan w:val="2"/>
            <w:shd w:val="clear" w:color="auto" w:fill="B8CCE4" w:themeFill="accent1" w:themeFillTint="66"/>
            <w:hideMark/>
          </w:tcPr>
          <w:p w14:paraId="035B9E87" w14:textId="77777777" w:rsidR="006C6704" w:rsidRPr="0022059D" w:rsidRDefault="006C6704" w:rsidP="00580769">
            <w:pPr>
              <w:ind w:left="360"/>
              <w:jc w:val="center"/>
              <w:rPr>
                <w:rFonts w:ascii="Verdana" w:eastAsia="Times New Roman" w:hAnsi="Verdana"/>
                <w:b/>
                <w:bCs/>
                <w:color w:val="000000"/>
                <w:lang w:eastAsia="sl-SI"/>
              </w:rPr>
            </w:pPr>
          </w:p>
          <w:p w14:paraId="6CDD50EB" w14:textId="77777777" w:rsidR="006C6704" w:rsidRPr="00E072DF" w:rsidRDefault="006C6704" w:rsidP="00580769">
            <w:pPr>
              <w:ind w:left="360"/>
              <w:jc w:val="center"/>
              <w:rPr>
                <w:rFonts w:ascii="Verdana" w:eastAsia="Times New Roman" w:hAnsi="Verdana"/>
                <w:b/>
                <w:bCs/>
                <w:color w:val="000000"/>
                <w:sz w:val="20"/>
                <w:szCs w:val="20"/>
                <w:lang w:eastAsia="sl-SI"/>
              </w:rPr>
            </w:pPr>
            <w:r w:rsidRPr="00E072DF">
              <w:rPr>
                <w:rFonts w:ascii="Verdana" w:eastAsia="Times New Roman" w:hAnsi="Verdana"/>
                <w:b/>
                <w:bCs/>
                <w:color w:val="000000"/>
                <w:sz w:val="20"/>
                <w:szCs w:val="20"/>
                <w:lang w:eastAsia="sl-SI"/>
              </w:rPr>
              <w:t>SEKTOR ZA KAKOVOST</w:t>
            </w:r>
          </w:p>
          <w:p w14:paraId="01764A33" w14:textId="77777777" w:rsidR="006C6704" w:rsidRPr="00E072DF" w:rsidRDefault="006C6704" w:rsidP="00580769">
            <w:pPr>
              <w:pStyle w:val="Odstavekseznama"/>
              <w:ind w:left="1080"/>
              <w:rPr>
                <w:rFonts w:ascii="Verdana" w:hAnsi="Verdana"/>
                <w:sz w:val="20"/>
                <w:szCs w:val="20"/>
              </w:rPr>
            </w:pPr>
          </w:p>
          <w:p w14:paraId="32093F8D" w14:textId="77777777" w:rsidR="006C6704" w:rsidRPr="00E072DF" w:rsidRDefault="006C6704" w:rsidP="00580769">
            <w:pPr>
              <w:rPr>
                <w:rFonts w:ascii="Verdana" w:eastAsia="Times New Roman" w:hAnsi="Verdana"/>
                <w:b/>
                <w:bCs/>
                <w:color w:val="000000"/>
                <w:sz w:val="20"/>
                <w:szCs w:val="20"/>
                <w:lang w:eastAsia="sl-SI"/>
              </w:rPr>
            </w:pPr>
            <w:r w:rsidRPr="00E072DF">
              <w:rPr>
                <w:rFonts w:ascii="Verdana" w:hAnsi="Verdana"/>
                <w:b/>
                <w:sz w:val="20"/>
                <w:szCs w:val="20"/>
              </w:rPr>
              <w:t>Temeljna delovna področja sektorja:</w:t>
            </w:r>
          </w:p>
          <w:p w14:paraId="27D7C078" w14:textId="77777777" w:rsidR="006C6704" w:rsidRPr="00E072DF" w:rsidRDefault="006C6704" w:rsidP="00580769">
            <w:pPr>
              <w:pStyle w:val="Odstavekseznama"/>
              <w:numPr>
                <w:ilvl w:val="0"/>
                <w:numId w:val="3"/>
              </w:numPr>
              <w:ind w:left="720"/>
              <w:jc w:val="both"/>
              <w:rPr>
                <w:rFonts w:ascii="Verdana" w:eastAsia="Times New Roman" w:hAnsi="Verdana"/>
                <w:b/>
                <w:sz w:val="20"/>
                <w:szCs w:val="20"/>
              </w:rPr>
            </w:pPr>
            <w:r w:rsidRPr="00E072DF">
              <w:rPr>
                <w:rFonts w:ascii="Verdana" w:eastAsia="Times New Roman" w:hAnsi="Verdana"/>
                <w:b/>
                <w:sz w:val="20"/>
                <w:szCs w:val="20"/>
              </w:rPr>
              <w:t>merila in drugi predpisi s področja kakovosti;</w:t>
            </w:r>
          </w:p>
          <w:p w14:paraId="1AFF7C12" w14:textId="77777777" w:rsidR="006C6704" w:rsidRPr="00E072DF" w:rsidRDefault="006C6704" w:rsidP="00580769">
            <w:pPr>
              <w:pStyle w:val="Odstavekseznama"/>
              <w:numPr>
                <w:ilvl w:val="0"/>
                <w:numId w:val="3"/>
              </w:numPr>
              <w:ind w:left="720"/>
              <w:jc w:val="both"/>
              <w:rPr>
                <w:rFonts w:ascii="Verdana" w:eastAsia="Times New Roman" w:hAnsi="Verdana"/>
                <w:b/>
                <w:sz w:val="20"/>
                <w:szCs w:val="20"/>
              </w:rPr>
            </w:pPr>
            <w:r w:rsidRPr="00E072DF">
              <w:rPr>
                <w:rFonts w:ascii="Verdana" w:eastAsia="Times New Roman" w:hAnsi="Verdana"/>
                <w:b/>
                <w:sz w:val="20"/>
                <w:szCs w:val="20"/>
              </w:rPr>
              <w:t>priprava priročnikov, vodnikov;</w:t>
            </w:r>
          </w:p>
          <w:p w14:paraId="564790C6" w14:textId="77777777" w:rsidR="006C6704" w:rsidRPr="00E072DF" w:rsidRDefault="006C6704" w:rsidP="00580769">
            <w:pPr>
              <w:pStyle w:val="Odstavekseznama"/>
              <w:numPr>
                <w:ilvl w:val="0"/>
                <w:numId w:val="3"/>
              </w:numPr>
              <w:ind w:left="720"/>
              <w:jc w:val="both"/>
              <w:rPr>
                <w:rFonts w:ascii="Verdana" w:eastAsia="Times New Roman" w:hAnsi="Verdana"/>
                <w:b/>
                <w:sz w:val="20"/>
                <w:szCs w:val="20"/>
              </w:rPr>
            </w:pPr>
            <w:r w:rsidRPr="00E072DF">
              <w:rPr>
                <w:rFonts w:ascii="Verdana" w:eastAsia="Times New Roman" w:hAnsi="Verdana"/>
                <w:b/>
                <w:sz w:val="20"/>
                <w:szCs w:val="20"/>
              </w:rPr>
              <w:t>akreditacije in evalvacije;</w:t>
            </w:r>
          </w:p>
          <w:p w14:paraId="1289D00A" w14:textId="77777777" w:rsidR="006C6704" w:rsidRPr="00E072DF" w:rsidRDefault="006C6704" w:rsidP="00580769">
            <w:pPr>
              <w:pStyle w:val="Odstavekseznama"/>
              <w:numPr>
                <w:ilvl w:val="0"/>
                <w:numId w:val="3"/>
              </w:numPr>
              <w:ind w:left="720"/>
              <w:jc w:val="both"/>
              <w:rPr>
                <w:rFonts w:ascii="Verdana" w:eastAsia="Times New Roman" w:hAnsi="Verdana"/>
                <w:b/>
                <w:sz w:val="20"/>
                <w:szCs w:val="20"/>
              </w:rPr>
            </w:pPr>
            <w:r w:rsidRPr="00E072DF">
              <w:rPr>
                <w:rFonts w:ascii="Verdana" w:eastAsia="Times New Roman" w:hAnsi="Verdana"/>
                <w:b/>
                <w:sz w:val="20"/>
                <w:szCs w:val="20"/>
              </w:rPr>
              <w:t>spremembe študijskih programov;</w:t>
            </w:r>
          </w:p>
          <w:p w14:paraId="4BFED22B" w14:textId="77777777" w:rsidR="006C6704" w:rsidRPr="00E072DF" w:rsidRDefault="006C6704" w:rsidP="00580769">
            <w:pPr>
              <w:pStyle w:val="Odstavekseznama"/>
              <w:numPr>
                <w:ilvl w:val="0"/>
                <w:numId w:val="3"/>
              </w:numPr>
              <w:ind w:left="720"/>
              <w:jc w:val="both"/>
              <w:rPr>
                <w:rFonts w:ascii="Verdana" w:eastAsia="Times New Roman" w:hAnsi="Verdana"/>
                <w:b/>
                <w:sz w:val="20"/>
                <w:szCs w:val="20"/>
              </w:rPr>
            </w:pPr>
            <w:r w:rsidRPr="00E072DF">
              <w:rPr>
                <w:rFonts w:ascii="Verdana" w:eastAsia="Times New Roman" w:hAnsi="Verdana"/>
                <w:b/>
                <w:sz w:val="20"/>
                <w:szCs w:val="20"/>
              </w:rPr>
              <w:t>sodelovanje z deležniki (zavodi/šolami, strokovnjaki);</w:t>
            </w:r>
          </w:p>
          <w:p w14:paraId="09D1A0DA" w14:textId="77777777" w:rsidR="006C6704" w:rsidRPr="00E072DF" w:rsidRDefault="006C6704" w:rsidP="00580769">
            <w:pPr>
              <w:pStyle w:val="Odstavekseznama"/>
              <w:numPr>
                <w:ilvl w:val="0"/>
                <w:numId w:val="3"/>
              </w:numPr>
              <w:ind w:left="720"/>
              <w:jc w:val="both"/>
              <w:rPr>
                <w:rFonts w:ascii="Verdana" w:eastAsia="Times New Roman" w:hAnsi="Verdana"/>
                <w:b/>
                <w:sz w:val="20"/>
                <w:szCs w:val="20"/>
              </w:rPr>
            </w:pPr>
            <w:r w:rsidRPr="00E072DF">
              <w:rPr>
                <w:rFonts w:ascii="Verdana" w:eastAsia="Times New Roman" w:hAnsi="Verdana"/>
                <w:b/>
                <w:sz w:val="20"/>
                <w:szCs w:val="20"/>
              </w:rPr>
              <w:t>vodenje in posodabljanje evidenc (o akreditacijah, evalvacijah, spremembah, VTI...)</w:t>
            </w:r>
          </w:p>
          <w:p w14:paraId="1193E3E8" w14:textId="62F9E0BD" w:rsidR="006C6704" w:rsidRPr="00E072DF" w:rsidRDefault="006C6704" w:rsidP="00E072DF">
            <w:pPr>
              <w:numPr>
                <w:ilvl w:val="0"/>
                <w:numId w:val="8"/>
              </w:numPr>
              <w:ind w:left="709"/>
              <w:rPr>
                <w:rFonts w:ascii="Verdana" w:hAnsi="Verdana"/>
                <w:b/>
                <w:sz w:val="20"/>
                <w:szCs w:val="20"/>
              </w:rPr>
            </w:pPr>
            <w:r w:rsidRPr="00E072DF">
              <w:rPr>
                <w:rFonts w:ascii="Verdana" w:eastAsia="Times New Roman" w:hAnsi="Verdana"/>
                <w:b/>
                <w:sz w:val="20"/>
                <w:szCs w:val="20"/>
              </w:rPr>
              <w:lastRenderedPageBreak/>
              <w:t>arhiviranje vlog in drugih dokumentov.</w:t>
            </w:r>
          </w:p>
        </w:tc>
      </w:tr>
      <w:tr w:rsidR="006C6704" w:rsidRPr="00E525AF" w14:paraId="2D5D781E" w14:textId="77777777" w:rsidTr="00E072DF">
        <w:trPr>
          <w:trHeight w:val="510"/>
        </w:trPr>
        <w:tc>
          <w:tcPr>
            <w:tcW w:w="10065" w:type="dxa"/>
            <w:gridSpan w:val="2"/>
            <w:shd w:val="clear" w:color="auto" w:fill="B8CCE4" w:themeFill="accent1" w:themeFillTint="66"/>
            <w:hideMark/>
          </w:tcPr>
          <w:p w14:paraId="60D1AE1F" w14:textId="77777777" w:rsidR="006C6704" w:rsidRDefault="006C6704" w:rsidP="00580769">
            <w:pPr>
              <w:rPr>
                <w:rFonts w:ascii="Verdana" w:eastAsia="Times New Roman" w:hAnsi="Verdana" w:cs="Times New Roman"/>
                <w:b/>
                <w:bCs/>
                <w:color w:val="000000"/>
                <w:sz w:val="20"/>
                <w:szCs w:val="20"/>
                <w:lang w:eastAsia="sl-SI"/>
              </w:rPr>
            </w:pPr>
          </w:p>
          <w:p w14:paraId="75D5F049" w14:textId="77777777" w:rsidR="006C6704" w:rsidRDefault="006C6704" w:rsidP="00580769">
            <w:pPr>
              <w:rPr>
                <w:rFonts w:ascii="Verdana" w:eastAsia="Times New Roman" w:hAnsi="Verdana" w:cs="Times New Roman"/>
                <w:b/>
                <w:bCs/>
                <w:color w:val="000000"/>
                <w:sz w:val="20"/>
                <w:szCs w:val="20"/>
                <w:lang w:eastAsia="sl-SI"/>
              </w:rPr>
            </w:pPr>
            <w:r w:rsidRPr="00E525AF">
              <w:rPr>
                <w:rFonts w:ascii="Verdana" w:eastAsia="Times New Roman" w:hAnsi="Verdana" w:cs="Times New Roman"/>
                <w:b/>
                <w:bCs/>
                <w:color w:val="000000"/>
                <w:sz w:val="20"/>
                <w:szCs w:val="20"/>
                <w:lang w:eastAsia="sl-SI"/>
              </w:rPr>
              <w:t>vodja Jožica Kramar, nadomešča jo Zala Sečnik</w:t>
            </w:r>
          </w:p>
          <w:p w14:paraId="6711B519" w14:textId="41AEB255" w:rsidR="006C6704" w:rsidRPr="00E525AF" w:rsidRDefault="006C6704" w:rsidP="00580769">
            <w:pPr>
              <w:rPr>
                <w:rFonts w:ascii="Verdana" w:eastAsia="Times New Roman" w:hAnsi="Verdana" w:cs="Times New Roman"/>
                <w:b/>
                <w:bCs/>
                <w:color w:val="000000"/>
                <w:sz w:val="20"/>
                <w:szCs w:val="20"/>
                <w:lang w:eastAsia="sl-SI"/>
              </w:rPr>
            </w:pPr>
            <w:r w:rsidRPr="00E525AF">
              <w:rPr>
                <w:rFonts w:ascii="Verdana" w:eastAsia="Times New Roman" w:hAnsi="Verdana" w:cs="Times New Roman"/>
                <w:b/>
                <w:bCs/>
                <w:color w:val="000000"/>
                <w:sz w:val="20"/>
                <w:szCs w:val="20"/>
                <w:lang w:eastAsia="sl-SI"/>
              </w:rPr>
              <w:t>strokovni delavci: Gregor Rebernik, Anita Kajtezovič, Martina Mravlja, Nataša Kramar</w:t>
            </w:r>
            <w:r w:rsidR="003E3D77">
              <w:rPr>
                <w:rFonts w:ascii="Verdana" w:eastAsia="Times New Roman" w:hAnsi="Verdana" w:cs="Times New Roman"/>
                <w:b/>
                <w:bCs/>
                <w:color w:val="000000"/>
                <w:sz w:val="20"/>
                <w:szCs w:val="20"/>
                <w:lang w:eastAsia="sl-SI"/>
              </w:rPr>
              <w:t>, Matjaž Štuhec</w:t>
            </w:r>
          </w:p>
        </w:tc>
      </w:tr>
      <w:tr w:rsidR="006C6704" w:rsidRPr="001345BC" w14:paraId="578D53A8" w14:textId="77777777" w:rsidTr="00E072DF">
        <w:trPr>
          <w:trHeight w:val="270"/>
        </w:trPr>
        <w:tc>
          <w:tcPr>
            <w:tcW w:w="4537" w:type="dxa"/>
            <w:shd w:val="clear" w:color="auto" w:fill="C2D69B" w:themeFill="accent3" w:themeFillTint="99"/>
            <w:hideMark/>
          </w:tcPr>
          <w:p w14:paraId="5A70DF92" w14:textId="77777777" w:rsidR="006C6704" w:rsidRPr="001345BC" w:rsidRDefault="006C6704" w:rsidP="00580769">
            <w:pPr>
              <w:rPr>
                <w:rFonts w:ascii="Verdana" w:hAnsi="Verdana"/>
                <w:b/>
                <w:bCs/>
                <w:sz w:val="20"/>
                <w:szCs w:val="20"/>
              </w:rPr>
            </w:pPr>
            <w:r w:rsidRPr="001345BC">
              <w:rPr>
                <w:rFonts w:ascii="Verdana" w:hAnsi="Verdana"/>
                <w:b/>
                <w:bCs/>
                <w:sz w:val="20"/>
                <w:szCs w:val="20"/>
              </w:rPr>
              <w:t>naloga</w:t>
            </w:r>
          </w:p>
        </w:tc>
        <w:tc>
          <w:tcPr>
            <w:tcW w:w="5528" w:type="dxa"/>
            <w:shd w:val="clear" w:color="auto" w:fill="C2D69B" w:themeFill="accent3" w:themeFillTint="99"/>
            <w:hideMark/>
          </w:tcPr>
          <w:p w14:paraId="373DC3CD" w14:textId="77777777" w:rsidR="006C6704" w:rsidRPr="001345BC" w:rsidRDefault="006C6704" w:rsidP="00580769">
            <w:pPr>
              <w:rPr>
                <w:rFonts w:ascii="Verdana" w:hAnsi="Verdana"/>
                <w:b/>
                <w:bCs/>
                <w:sz w:val="20"/>
                <w:szCs w:val="20"/>
              </w:rPr>
            </w:pPr>
            <w:r w:rsidRPr="001345BC">
              <w:rPr>
                <w:rFonts w:ascii="Verdana" w:hAnsi="Verdana"/>
                <w:b/>
                <w:bCs/>
                <w:sz w:val="20"/>
                <w:szCs w:val="20"/>
              </w:rPr>
              <w:t>vsebina</w:t>
            </w:r>
          </w:p>
        </w:tc>
      </w:tr>
      <w:tr w:rsidR="00406A3D" w:rsidRPr="001345BC" w14:paraId="0EF28BEE" w14:textId="77777777" w:rsidTr="00E072DF">
        <w:trPr>
          <w:trHeight w:val="255"/>
        </w:trPr>
        <w:tc>
          <w:tcPr>
            <w:tcW w:w="10065" w:type="dxa"/>
            <w:gridSpan w:val="2"/>
            <w:shd w:val="clear" w:color="auto" w:fill="E5B8B7" w:themeFill="accent2" w:themeFillTint="66"/>
            <w:hideMark/>
          </w:tcPr>
          <w:p w14:paraId="3832C669" w14:textId="77777777" w:rsidR="00406A3D" w:rsidRPr="001345BC" w:rsidRDefault="00406A3D" w:rsidP="00406A3D">
            <w:pPr>
              <w:rPr>
                <w:rFonts w:ascii="Verdana" w:hAnsi="Verdana"/>
                <w:b/>
                <w:bCs/>
                <w:sz w:val="20"/>
                <w:szCs w:val="20"/>
              </w:rPr>
            </w:pPr>
            <w:r w:rsidRPr="001345BC">
              <w:rPr>
                <w:rFonts w:ascii="Verdana" w:hAnsi="Verdana"/>
                <w:b/>
                <w:bCs/>
                <w:sz w:val="20"/>
                <w:szCs w:val="20"/>
              </w:rPr>
              <w:t xml:space="preserve">1. Merila in drugi predpisi s področja kakovosti </w:t>
            </w:r>
          </w:p>
        </w:tc>
      </w:tr>
      <w:tr w:rsidR="00406A3D" w:rsidRPr="001345BC" w14:paraId="2BDB1225" w14:textId="77777777" w:rsidTr="00E072DF">
        <w:trPr>
          <w:trHeight w:val="255"/>
        </w:trPr>
        <w:tc>
          <w:tcPr>
            <w:tcW w:w="10065" w:type="dxa"/>
            <w:gridSpan w:val="2"/>
            <w:shd w:val="clear" w:color="auto" w:fill="E5B8B7" w:themeFill="accent2" w:themeFillTint="66"/>
            <w:hideMark/>
          </w:tcPr>
          <w:p w14:paraId="09EEDE84" w14:textId="77777777" w:rsidR="00406A3D" w:rsidRPr="001345BC" w:rsidRDefault="00406A3D" w:rsidP="00406A3D">
            <w:pPr>
              <w:rPr>
                <w:rFonts w:ascii="Verdana" w:hAnsi="Verdana"/>
                <w:b/>
                <w:bCs/>
                <w:sz w:val="20"/>
                <w:szCs w:val="20"/>
              </w:rPr>
            </w:pPr>
            <w:r w:rsidRPr="001345BC">
              <w:rPr>
                <w:rFonts w:ascii="Verdana" w:hAnsi="Verdana"/>
                <w:b/>
                <w:bCs/>
                <w:sz w:val="20"/>
                <w:szCs w:val="20"/>
              </w:rPr>
              <w:t xml:space="preserve">2. Priprava priročnikov, vodnikov </w:t>
            </w:r>
          </w:p>
        </w:tc>
      </w:tr>
      <w:tr w:rsidR="00406A3D" w:rsidRPr="001345BC" w14:paraId="4385A08C" w14:textId="77777777" w:rsidTr="00E072DF">
        <w:trPr>
          <w:trHeight w:val="255"/>
        </w:trPr>
        <w:tc>
          <w:tcPr>
            <w:tcW w:w="10065" w:type="dxa"/>
            <w:gridSpan w:val="2"/>
            <w:shd w:val="clear" w:color="auto" w:fill="E5B8B7" w:themeFill="accent2" w:themeFillTint="66"/>
            <w:hideMark/>
          </w:tcPr>
          <w:p w14:paraId="0E53E505" w14:textId="77777777" w:rsidR="00406A3D" w:rsidRPr="001345BC" w:rsidRDefault="00406A3D" w:rsidP="00406A3D">
            <w:pPr>
              <w:rPr>
                <w:rFonts w:ascii="Verdana" w:hAnsi="Verdana"/>
                <w:b/>
                <w:bCs/>
                <w:sz w:val="20"/>
                <w:szCs w:val="20"/>
              </w:rPr>
            </w:pPr>
            <w:r w:rsidRPr="001345BC">
              <w:rPr>
                <w:rFonts w:ascii="Verdana" w:hAnsi="Verdana"/>
                <w:b/>
                <w:bCs/>
                <w:sz w:val="20"/>
                <w:szCs w:val="20"/>
              </w:rPr>
              <w:t xml:space="preserve">3. Akreditacije in evalvacije </w:t>
            </w:r>
          </w:p>
        </w:tc>
      </w:tr>
      <w:tr w:rsidR="00406A3D" w:rsidRPr="001345BC" w14:paraId="590D5F00" w14:textId="77777777" w:rsidTr="00E072DF">
        <w:trPr>
          <w:trHeight w:val="510"/>
        </w:trPr>
        <w:tc>
          <w:tcPr>
            <w:tcW w:w="4537" w:type="dxa"/>
            <w:hideMark/>
          </w:tcPr>
          <w:p w14:paraId="786CE962" w14:textId="77777777" w:rsidR="00406A3D" w:rsidRPr="001345BC" w:rsidRDefault="00406A3D" w:rsidP="00406A3D">
            <w:pPr>
              <w:rPr>
                <w:rFonts w:ascii="Verdana" w:hAnsi="Verdana"/>
                <w:sz w:val="20"/>
                <w:szCs w:val="20"/>
              </w:rPr>
            </w:pPr>
            <w:r w:rsidRPr="001345BC">
              <w:rPr>
                <w:rFonts w:ascii="Verdana" w:hAnsi="Verdana"/>
                <w:sz w:val="20"/>
                <w:szCs w:val="20"/>
              </w:rPr>
              <w:t>Dodeljevanje vlog in spremljanje dela zaposlenih</w:t>
            </w:r>
          </w:p>
        </w:tc>
        <w:tc>
          <w:tcPr>
            <w:tcW w:w="5528" w:type="dxa"/>
            <w:hideMark/>
          </w:tcPr>
          <w:p w14:paraId="05423C3B" w14:textId="77777777" w:rsidR="00406A3D" w:rsidRPr="001345BC" w:rsidRDefault="00406A3D" w:rsidP="00406A3D">
            <w:pPr>
              <w:rPr>
                <w:rFonts w:ascii="Verdana" w:hAnsi="Verdana"/>
                <w:sz w:val="20"/>
                <w:szCs w:val="20"/>
              </w:rPr>
            </w:pPr>
            <w:r w:rsidRPr="001345BC">
              <w:rPr>
                <w:rFonts w:ascii="Verdana" w:hAnsi="Verdana"/>
                <w:sz w:val="20"/>
                <w:szCs w:val="20"/>
              </w:rPr>
              <w:t>Pregled nad delom strokovnih delavcev in tedensko poročanje o stanju</w:t>
            </w:r>
          </w:p>
        </w:tc>
      </w:tr>
      <w:tr w:rsidR="00406A3D" w:rsidRPr="001345BC" w14:paraId="7192CC1F" w14:textId="77777777" w:rsidTr="00E072DF">
        <w:trPr>
          <w:trHeight w:val="1020"/>
        </w:trPr>
        <w:tc>
          <w:tcPr>
            <w:tcW w:w="4537" w:type="dxa"/>
            <w:hideMark/>
          </w:tcPr>
          <w:p w14:paraId="71026C59" w14:textId="77777777" w:rsidR="00406A3D" w:rsidRPr="001345BC" w:rsidRDefault="00406A3D" w:rsidP="00406A3D">
            <w:pPr>
              <w:rPr>
                <w:rFonts w:ascii="Verdana" w:hAnsi="Verdana"/>
                <w:sz w:val="20"/>
                <w:szCs w:val="20"/>
              </w:rPr>
            </w:pPr>
            <w:r w:rsidRPr="001345BC">
              <w:rPr>
                <w:rFonts w:ascii="Verdana" w:hAnsi="Verdana"/>
                <w:sz w:val="20"/>
                <w:szCs w:val="20"/>
              </w:rPr>
              <w:t>Priprava sej sveta NAKVIS</w:t>
            </w:r>
          </w:p>
        </w:tc>
        <w:tc>
          <w:tcPr>
            <w:tcW w:w="5528" w:type="dxa"/>
            <w:hideMark/>
          </w:tcPr>
          <w:p w14:paraId="05037B03" w14:textId="77777777" w:rsidR="00406A3D" w:rsidRPr="001345BC" w:rsidRDefault="00406A3D" w:rsidP="00406A3D">
            <w:pPr>
              <w:rPr>
                <w:rFonts w:ascii="Verdana" w:hAnsi="Verdana"/>
                <w:sz w:val="20"/>
                <w:szCs w:val="20"/>
              </w:rPr>
            </w:pPr>
            <w:r w:rsidRPr="001345BC">
              <w:rPr>
                <w:rFonts w:ascii="Verdana" w:hAnsi="Verdana"/>
                <w:sz w:val="20"/>
                <w:szCs w:val="20"/>
              </w:rPr>
              <w:t>Priprava dnevnega reda,  izdelava in pošiljanje vabila, priprava gradiva za člane sveta in za pregled, pisanje zapisnika in skrb za izvedbo sklepov….</w:t>
            </w:r>
          </w:p>
        </w:tc>
      </w:tr>
      <w:tr w:rsidR="00406A3D" w:rsidRPr="001345BC" w14:paraId="77D835E1" w14:textId="77777777" w:rsidTr="00E072DF">
        <w:trPr>
          <w:trHeight w:val="2445"/>
        </w:trPr>
        <w:tc>
          <w:tcPr>
            <w:tcW w:w="4537" w:type="dxa"/>
            <w:hideMark/>
          </w:tcPr>
          <w:p w14:paraId="27ADBDA5" w14:textId="77777777" w:rsidR="00406A3D" w:rsidRPr="001345BC" w:rsidRDefault="00406A3D" w:rsidP="00406A3D">
            <w:pPr>
              <w:rPr>
                <w:rFonts w:ascii="Verdana" w:hAnsi="Verdana"/>
                <w:sz w:val="20"/>
                <w:szCs w:val="20"/>
              </w:rPr>
            </w:pPr>
            <w:r w:rsidRPr="001345BC">
              <w:rPr>
                <w:rFonts w:ascii="Verdana" w:hAnsi="Verdana"/>
                <w:sz w:val="20"/>
                <w:szCs w:val="20"/>
              </w:rPr>
              <w:t>Vodenje postopkov</w:t>
            </w:r>
          </w:p>
        </w:tc>
        <w:tc>
          <w:tcPr>
            <w:tcW w:w="5528" w:type="dxa"/>
            <w:hideMark/>
          </w:tcPr>
          <w:p w14:paraId="4F512A7F" w14:textId="77777777" w:rsidR="00406A3D" w:rsidRPr="001345BC" w:rsidRDefault="00406A3D" w:rsidP="00406A3D">
            <w:pPr>
              <w:rPr>
                <w:rFonts w:ascii="Verdana" w:hAnsi="Verdana"/>
                <w:sz w:val="20"/>
                <w:szCs w:val="20"/>
              </w:rPr>
            </w:pPr>
            <w:r w:rsidRPr="001345BC">
              <w:rPr>
                <w:rFonts w:ascii="Verdana" w:hAnsi="Verdana"/>
                <w:sz w:val="20"/>
                <w:szCs w:val="20"/>
              </w:rPr>
              <w:t xml:space="preserve">Pregled formalne in vsebinske popolnosti vlog; komunikacija vlagatelj NAKVIS; izbira poročevalcev in oblikovanje skupine strokovnjakov; delo s skupino strokovnjakov; priprava skupine na obisk  zavoda/šole, aktivno sodelovanje pri pripravi poročila; usklajevanje urnikov in seznamov sodelujočih na presoji; vodenje in skrb za zakonitost postopkov;  priprava zadev za obravnavo na svetu in ob morebitnih pritožbah vlagateljev; sodelovanje na sejah sveta; priprava spisa za arhiv… </w:t>
            </w:r>
          </w:p>
        </w:tc>
      </w:tr>
      <w:tr w:rsidR="00406A3D" w:rsidRPr="001345BC" w14:paraId="7CD0FFD0" w14:textId="77777777" w:rsidTr="00E072DF">
        <w:trPr>
          <w:trHeight w:val="1020"/>
        </w:trPr>
        <w:tc>
          <w:tcPr>
            <w:tcW w:w="4537" w:type="dxa"/>
            <w:hideMark/>
          </w:tcPr>
          <w:p w14:paraId="3C980095" w14:textId="77777777" w:rsidR="00406A3D" w:rsidRPr="001345BC" w:rsidRDefault="00406A3D" w:rsidP="00406A3D">
            <w:pPr>
              <w:rPr>
                <w:rFonts w:ascii="Verdana" w:hAnsi="Verdana"/>
                <w:sz w:val="20"/>
                <w:szCs w:val="20"/>
              </w:rPr>
            </w:pPr>
            <w:r w:rsidRPr="001345BC">
              <w:rPr>
                <w:rFonts w:ascii="Verdana" w:hAnsi="Verdana"/>
                <w:sz w:val="20"/>
                <w:szCs w:val="20"/>
              </w:rPr>
              <w:t>Usklajevanje (umerjanje) dela</w:t>
            </w:r>
          </w:p>
        </w:tc>
        <w:tc>
          <w:tcPr>
            <w:tcW w:w="5528" w:type="dxa"/>
            <w:hideMark/>
          </w:tcPr>
          <w:p w14:paraId="2E5B3A1C" w14:textId="77777777" w:rsidR="00406A3D" w:rsidRPr="001345BC" w:rsidRDefault="00406A3D" w:rsidP="00406A3D">
            <w:pPr>
              <w:rPr>
                <w:rFonts w:ascii="Verdana" w:hAnsi="Verdana"/>
                <w:sz w:val="20"/>
                <w:szCs w:val="20"/>
              </w:rPr>
            </w:pPr>
            <w:r w:rsidRPr="001345BC">
              <w:rPr>
                <w:rFonts w:ascii="Verdana" w:hAnsi="Verdana"/>
                <w:sz w:val="20"/>
                <w:szCs w:val="20"/>
              </w:rPr>
              <w:t>Redno usklajevanje dela strokovnih delavcev, prizadevanje za enotno vodenje postopkov, tolmačenje meril; reševanje težav, zahtevnejših zadev…</w:t>
            </w:r>
          </w:p>
        </w:tc>
      </w:tr>
      <w:tr w:rsidR="00406A3D" w:rsidRPr="001345BC" w14:paraId="550EC7E3" w14:textId="77777777" w:rsidTr="00E072DF">
        <w:trPr>
          <w:trHeight w:val="1530"/>
        </w:trPr>
        <w:tc>
          <w:tcPr>
            <w:tcW w:w="4537" w:type="dxa"/>
            <w:hideMark/>
          </w:tcPr>
          <w:p w14:paraId="78F2BEE0" w14:textId="77777777" w:rsidR="00406A3D" w:rsidRPr="001345BC" w:rsidRDefault="00406A3D" w:rsidP="00406A3D">
            <w:pPr>
              <w:rPr>
                <w:rFonts w:ascii="Verdana" w:hAnsi="Verdana"/>
                <w:sz w:val="20"/>
                <w:szCs w:val="20"/>
              </w:rPr>
            </w:pPr>
            <w:r w:rsidRPr="001345BC">
              <w:rPr>
                <w:rFonts w:ascii="Verdana" w:hAnsi="Verdana"/>
                <w:sz w:val="20"/>
                <w:szCs w:val="20"/>
              </w:rPr>
              <w:t xml:space="preserve">Register strokovnjakov </w:t>
            </w:r>
          </w:p>
        </w:tc>
        <w:tc>
          <w:tcPr>
            <w:tcW w:w="5528" w:type="dxa"/>
            <w:hideMark/>
          </w:tcPr>
          <w:p w14:paraId="1391A25F" w14:textId="77777777" w:rsidR="00406A3D" w:rsidRPr="001345BC" w:rsidRDefault="00406A3D" w:rsidP="00406A3D">
            <w:pPr>
              <w:rPr>
                <w:rFonts w:ascii="Verdana" w:hAnsi="Verdana"/>
                <w:sz w:val="20"/>
                <w:szCs w:val="20"/>
              </w:rPr>
            </w:pPr>
            <w:r w:rsidRPr="001345BC">
              <w:rPr>
                <w:rFonts w:ascii="Verdana" w:hAnsi="Verdana"/>
                <w:sz w:val="20"/>
                <w:szCs w:val="20"/>
              </w:rPr>
              <w:t xml:space="preserve">Spremljanje in posodabljanje registra strokovnjakov, priprava gradiva za delo komisije za izbiro strokovnjakov, pozivov za kandidate, pregledovanje prijav kandidatov, komuniciranje s strokovnjaki in sestava skupin strokovnjakov za posamezne postopke. </w:t>
            </w:r>
          </w:p>
        </w:tc>
      </w:tr>
      <w:tr w:rsidR="00406A3D" w:rsidRPr="001345BC" w14:paraId="08730FDE" w14:textId="77777777" w:rsidTr="00E072DF">
        <w:trPr>
          <w:trHeight w:val="1785"/>
        </w:trPr>
        <w:tc>
          <w:tcPr>
            <w:tcW w:w="4537" w:type="dxa"/>
            <w:hideMark/>
          </w:tcPr>
          <w:p w14:paraId="33174434" w14:textId="77777777" w:rsidR="00406A3D" w:rsidRPr="001345BC" w:rsidRDefault="00406A3D" w:rsidP="00406A3D">
            <w:pPr>
              <w:rPr>
                <w:rFonts w:ascii="Verdana" w:hAnsi="Verdana"/>
                <w:sz w:val="20"/>
                <w:szCs w:val="20"/>
              </w:rPr>
            </w:pPr>
            <w:r w:rsidRPr="001345BC">
              <w:rPr>
                <w:rFonts w:ascii="Verdana" w:hAnsi="Verdana"/>
                <w:sz w:val="20"/>
                <w:szCs w:val="20"/>
              </w:rPr>
              <w:t>Usposabljanje kandidatov za strokovnjake oziroma strokovnjakov agencije</w:t>
            </w:r>
          </w:p>
        </w:tc>
        <w:tc>
          <w:tcPr>
            <w:tcW w:w="5528" w:type="dxa"/>
            <w:hideMark/>
          </w:tcPr>
          <w:p w14:paraId="1EA05895" w14:textId="77777777" w:rsidR="00406A3D" w:rsidRPr="001345BC" w:rsidRDefault="00406A3D" w:rsidP="00406A3D">
            <w:pPr>
              <w:rPr>
                <w:rFonts w:ascii="Verdana" w:hAnsi="Verdana"/>
                <w:sz w:val="20"/>
                <w:szCs w:val="20"/>
              </w:rPr>
            </w:pPr>
            <w:r w:rsidRPr="001345BC">
              <w:rPr>
                <w:rFonts w:ascii="Verdana" w:hAnsi="Verdana"/>
                <w:sz w:val="20"/>
                <w:szCs w:val="20"/>
              </w:rPr>
              <w:t>Priprava kandidata za delo v skupini,  spremljanje in ocenjevanje njegovega dela, preverjanje poznavanja predpisov s področja, sodelovanje s predsedniki skupin strokovnjakov pri pripravi končne ocene. Občasna usposabljanja že imenovanih strokovnjakov (npr. ob spremembah meril in drugih predpisov).</w:t>
            </w:r>
          </w:p>
        </w:tc>
      </w:tr>
      <w:tr w:rsidR="00406A3D" w:rsidRPr="001345BC" w14:paraId="14296EDA" w14:textId="77777777" w:rsidTr="00E072DF">
        <w:trPr>
          <w:trHeight w:val="255"/>
        </w:trPr>
        <w:tc>
          <w:tcPr>
            <w:tcW w:w="10065" w:type="dxa"/>
            <w:gridSpan w:val="2"/>
            <w:shd w:val="clear" w:color="auto" w:fill="E5B8B7" w:themeFill="accent2" w:themeFillTint="66"/>
            <w:hideMark/>
          </w:tcPr>
          <w:p w14:paraId="413472EB" w14:textId="77777777" w:rsidR="00406A3D" w:rsidRPr="001345BC" w:rsidRDefault="00406A3D" w:rsidP="00406A3D">
            <w:pPr>
              <w:rPr>
                <w:rFonts w:ascii="Verdana" w:hAnsi="Verdana"/>
                <w:b/>
                <w:bCs/>
                <w:sz w:val="20"/>
                <w:szCs w:val="20"/>
              </w:rPr>
            </w:pPr>
            <w:r w:rsidRPr="001345BC">
              <w:rPr>
                <w:rFonts w:ascii="Verdana" w:hAnsi="Verdana"/>
                <w:b/>
                <w:bCs/>
                <w:sz w:val="20"/>
                <w:szCs w:val="20"/>
              </w:rPr>
              <w:t xml:space="preserve">4. Spremembe študijskih programov </w:t>
            </w:r>
          </w:p>
        </w:tc>
      </w:tr>
      <w:tr w:rsidR="00406A3D" w:rsidRPr="001345BC" w14:paraId="18912233" w14:textId="77777777" w:rsidTr="00E072DF">
        <w:trPr>
          <w:trHeight w:val="765"/>
        </w:trPr>
        <w:tc>
          <w:tcPr>
            <w:tcW w:w="4537" w:type="dxa"/>
            <w:hideMark/>
          </w:tcPr>
          <w:p w14:paraId="148E4DA1" w14:textId="77777777" w:rsidR="00406A3D" w:rsidRPr="001345BC" w:rsidRDefault="00406A3D" w:rsidP="00406A3D">
            <w:pPr>
              <w:rPr>
                <w:rFonts w:ascii="Verdana" w:hAnsi="Verdana"/>
                <w:sz w:val="20"/>
                <w:szCs w:val="20"/>
              </w:rPr>
            </w:pPr>
            <w:r w:rsidRPr="001345BC">
              <w:rPr>
                <w:rFonts w:ascii="Verdana" w:hAnsi="Verdana"/>
                <w:sz w:val="20"/>
                <w:szCs w:val="20"/>
              </w:rPr>
              <w:t>Sprotno pregledovanje sprememb študijskih programov</w:t>
            </w:r>
          </w:p>
        </w:tc>
        <w:tc>
          <w:tcPr>
            <w:tcW w:w="5528" w:type="dxa"/>
            <w:hideMark/>
          </w:tcPr>
          <w:p w14:paraId="3244E850" w14:textId="77777777" w:rsidR="00406A3D" w:rsidRPr="001345BC" w:rsidRDefault="00406A3D" w:rsidP="00406A3D">
            <w:pPr>
              <w:rPr>
                <w:rFonts w:ascii="Verdana" w:hAnsi="Verdana"/>
                <w:sz w:val="20"/>
                <w:szCs w:val="20"/>
              </w:rPr>
            </w:pPr>
            <w:r w:rsidRPr="001345BC">
              <w:rPr>
                <w:rFonts w:ascii="Verdana" w:hAnsi="Verdana"/>
                <w:sz w:val="20"/>
                <w:szCs w:val="20"/>
              </w:rPr>
              <w:t>Pregled vseh prispelih sprememb,  ugotavljanje zakonitosti in upoštevanja standardov kakovosti; posredovanje MIZŠ, usklajevanje z vlagateljem.</w:t>
            </w:r>
          </w:p>
        </w:tc>
      </w:tr>
      <w:tr w:rsidR="00406A3D" w:rsidRPr="001345BC" w14:paraId="0EAA1709" w14:textId="77777777" w:rsidTr="00E072DF">
        <w:trPr>
          <w:trHeight w:val="1275"/>
        </w:trPr>
        <w:tc>
          <w:tcPr>
            <w:tcW w:w="4537" w:type="dxa"/>
            <w:hideMark/>
          </w:tcPr>
          <w:p w14:paraId="12D9CFE7" w14:textId="77777777" w:rsidR="00406A3D" w:rsidRPr="001345BC" w:rsidRDefault="00406A3D" w:rsidP="00406A3D">
            <w:pPr>
              <w:rPr>
                <w:rFonts w:ascii="Verdana" w:hAnsi="Verdana"/>
                <w:sz w:val="20"/>
                <w:szCs w:val="20"/>
              </w:rPr>
            </w:pPr>
            <w:r w:rsidRPr="001345BC">
              <w:rPr>
                <w:rFonts w:ascii="Verdana" w:hAnsi="Verdana"/>
                <w:sz w:val="20"/>
                <w:szCs w:val="20"/>
              </w:rPr>
              <w:lastRenderedPageBreak/>
              <w:t xml:space="preserve">Priprava predlogov ukrepov ob morebitnih neustreznostih sprememb </w:t>
            </w:r>
          </w:p>
        </w:tc>
        <w:tc>
          <w:tcPr>
            <w:tcW w:w="5528" w:type="dxa"/>
            <w:hideMark/>
          </w:tcPr>
          <w:p w14:paraId="49098E6F" w14:textId="77777777" w:rsidR="00406A3D" w:rsidRPr="001345BC" w:rsidRDefault="00406A3D" w:rsidP="00406A3D">
            <w:pPr>
              <w:rPr>
                <w:rFonts w:ascii="Verdana" w:hAnsi="Verdana"/>
                <w:sz w:val="20"/>
                <w:szCs w:val="20"/>
              </w:rPr>
            </w:pPr>
            <w:r w:rsidRPr="001345BC">
              <w:rPr>
                <w:rFonts w:ascii="Verdana" w:hAnsi="Verdana"/>
                <w:sz w:val="20"/>
                <w:szCs w:val="20"/>
              </w:rPr>
              <w:t xml:space="preserve">Predlogi o morebitni uvedbi izredne evalvacije študijskega programa, posredovanje gradiva na svet, sodelovanje na svetu, sodelovanje s komisijo za izredne evalvacije, priprava gradiva, pojasnila in poizvedbe o posameznih zadevah.  </w:t>
            </w:r>
          </w:p>
        </w:tc>
      </w:tr>
      <w:tr w:rsidR="00406A3D" w:rsidRPr="001345BC" w14:paraId="47FCB4BE" w14:textId="77777777" w:rsidTr="00E072DF">
        <w:trPr>
          <w:trHeight w:val="255"/>
        </w:trPr>
        <w:tc>
          <w:tcPr>
            <w:tcW w:w="10065" w:type="dxa"/>
            <w:gridSpan w:val="2"/>
            <w:shd w:val="clear" w:color="auto" w:fill="E5B8B7" w:themeFill="accent2" w:themeFillTint="66"/>
            <w:hideMark/>
          </w:tcPr>
          <w:p w14:paraId="2E427E86" w14:textId="77777777" w:rsidR="00406A3D" w:rsidRPr="001345BC" w:rsidRDefault="00406A3D" w:rsidP="00406A3D">
            <w:pPr>
              <w:rPr>
                <w:rFonts w:ascii="Verdana" w:hAnsi="Verdana"/>
                <w:b/>
                <w:bCs/>
                <w:sz w:val="20"/>
                <w:szCs w:val="20"/>
              </w:rPr>
            </w:pPr>
            <w:r w:rsidRPr="001345BC">
              <w:rPr>
                <w:rFonts w:ascii="Verdana" w:hAnsi="Verdana"/>
                <w:b/>
                <w:bCs/>
                <w:sz w:val="20"/>
                <w:szCs w:val="20"/>
              </w:rPr>
              <w:t xml:space="preserve">5. Sodelovanje z deležniki (zavodi/šolami, strokovnjaki) </w:t>
            </w:r>
          </w:p>
        </w:tc>
      </w:tr>
      <w:tr w:rsidR="00406A3D" w:rsidRPr="001345BC" w14:paraId="3AA89ACF" w14:textId="77777777" w:rsidTr="00E072DF">
        <w:trPr>
          <w:trHeight w:val="765"/>
        </w:trPr>
        <w:tc>
          <w:tcPr>
            <w:tcW w:w="4537" w:type="dxa"/>
            <w:hideMark/>
          </w:tcPr>
          <w:p w14:paraId="44AEC39A" w14:textId="77777777" w:rsidR="00406A3D" w:rsidRPr="001345BC" w:rsidRDefault="00406A3D" w:rsidP="00406A3D">
            <w:pPr>
              <w:rPr>
                <w:rFonts w:ascii="Verdana" w:hAnsi="Verdana"/>
                <w:sz w:val="20"/>
                <w:szCs w:val="20"/>
              </w:rPr>
            </w:pPr>
            <w:r w:rsidRPr="001345BC">
              <w:rPr>
                <w:rFonts w:ascii="Verdana" w:hAnsi="Verdana"/>
                <w:sz w:val="20"/>
                <w:szCs w:val="20"/>
              </w:rPr>
              <w:t>Priprava pisnih odgovorov na vprašanja</w:t>
            </w:r>
          </w:p>
        </w:tc>
        <w:tc>
          <w:tcPr>
            <w:tcW w:w="5528" w:type="dxa"/>
            <w:hideMark/>
          </w:tcPr>
          <w:p w14:paraId="7F92B7F8" w14:textId="1655144B" w:rsidR="00406A3D" w:rsidRPr="001345BC" w:rsidRDefault="00406A3D" w:rsidP="00406A3D">
            <w:pPr>
              <w:rPr>
                <w:rFonts w:ascii="Verdana" w:hAnsi="Verdana"/>
                <w:sz w:val="20"/>
                <w:szCs w:val="20"/>
              </w:rPr>
            </w:pPr>
            <w:r w:rsidRPr="001345BC">
              <w:rPr>
                <w:rFonts w:ascii="Verdana" w:hAnsi="Verdana"/>
                <w:sz w:val="20"/>
                <w:szCs w:val="20"/>
              </w:rPr>
              <w:t>Tolmačenje meril in drugih predpisov, postopkov, informacije o vlogah, študijskih programih, zavodih/šolah</w:t>
            </w:r>
            <w:r w:rsidR="00ED351D">
              <w:rPr>
                <w:rFonts w:ascii="Verdana" w:hAnsi="Verdana"/>
                <w:sz w:val="20"/>
                <w:szCs w:val="20"/>
              </w:rPr>
              <w:t>.</w:t>
            </w:r>
          </w:p>
        </w:tc>
      </w:tr>
      <w:tr w:rsidR="00406A3D" w:rsidRPr="001345BC" w14:paraId="2ACA6397" w14:textId="77777777" w:rsidTr="00E072DF">
        <w:trPr>
          <w:trHeight w:val="1020"/>
        </w:trPr>
        <w:tc>
          <w:tcPr>
            <w:tcW w:w="4537" w:type="dxa"/>
            <w:hideMark/>
          </w:tcPr>
          <w:p w14:paraId="7147B876" w14:textId="77777777" w:rsidR="00406A3D" w:rsidRPr="001345BC" w:rsidRDefault="00406A3D" w:rsidP="00406A3D">
            <w:pPr>
              <w:rPr>
                <w:rFonts w:ascii="Verdana" w:hAnsi="Verdana"/>
                <w:sz w:val="20"/>
                <w:szCs w:val="20"/>
              </w:rPr>
            </w:pPr>
            <w:r w:rsidRPr="001345BC">
              <w:rPr>
                <w:rFonts w:ascii="Verdana" w:hAnsi="Verdana"/>
                <w:sz w:val="20"/>
                <w:szCs w:val="20"/>
              </w:rPr>
              <w:t>Priprava potrdil</w:t>
            </w:r>
          </w:p>
        </w:tc>
        <w:tc>
          <w:tcPr>
            <w:tcW w:w="5528" w:type="dxa"/>
            <w:hideMark/>
          </w:tcPr>
          <w:p w14:paraId="677C68B9" w14:textId="77777777" w:rsidR="00406A3D" w:rsidRPr="001345BC" w:rsidRDefault="00406A3D" w:rsidP="00406A3D">
            <w:pPr>
              <w:rPr>
                <w:rFonts w:ascii="Verdana" w:hAnsi="Verdana"/>
                <w:sz w:val="20"/>
                <w:szCs w:val="20"/>
              </w:rPr>
            </w:pPr>
            <w:r w:rsidRPr="001345BC">
              <w:rPr>
                <w:rFonts w:ascii="Verdana" w:hAnsi="Verdana"/>
                <w:sz w:val="20"/>
                <w:szCs w:val="20"/>
              </w:rPr>
              <w:t>Potrdila o akreditaciji zavodov/šol, javni veljavnosti študijskih programov za tuje diplomante, inštitucije, potrdila o sodelovanju strokovnjakov v skupinah za presojo…</w:t>
            </w:r>
          </w:p>
        </w:tc>
      </w:tr>
      <w:tr w:rsidR="00406A3D" w:rsidRPr="001345BC" w14:paraId="562219F3" w14:textId="77777777" w:rsidTr="00E072DF">
        <w:trPr>
          <w:trHeight w:val="1530"/>
        </w:trPr>
        <w:tc>
          <w:tcPr>
            <w:tcW w:w="4537" w:type="dxa"/>
            <w:hideMark/>
          </w:tcPr>
          <w:p w14:paraId="315B5E4A" w14:textId="77777777" w:rsidR="00406A3D" w:rsidRPr="001345BC" w:rsidRDefault="00406A3D" w:rsidP="00406A3D">
            <w:pPr>
              <w:rPr>
                <w:rFonts w:ascii="Verdana" w:hAnsi="Verdana"/>
                <w:sz w:val="20"/>
                <w:szCs w:val="20"/>
              </w:rPr>
            </w:pPr>
            <w:r w:rsidRPr="001345BC">
              <w:rPr>
                <w:rFonts w:ascii="Verdana" w:hAnsi="Verdana"/>
                <w:sz w:val="20"/>
                <w:szCs w:val="20"/>
              </w:rPr>
              <w:t>Sprotni stiki in skupno reševanje zadev zunanjimi deležniki</w:t>
            </w:r>
          </w:p>
        </w:tc>
        <w:tc>
          <w:tcPr>
            <w:tcW w:w="5528" w:type="dxa"/>
            <w:hideMark/>
          </w:tcPr>
          <w:p w14:paraId="193D0CD6" w14:textId="77777777" w:rsidR="00406A3D" w:rsidRPr="001345BC" w:rsidRDefault="00406A3D" w:rsidP="00406A3D">
            <w:pPr>
              <w:rPr>
                <w:rFonts w:ascii="Verdana" w:hAnsi="Verdana"/>
                <w:sz w:val="20"/>
                <w:szCs w:val="20"/>
              </w:rPr>
            </w:pPr>
            <w:r w:rsidRPr="001345BC">
              <w:rPr>
                <w:rFonts w:ascii="Verdana" w:hAnsi="Verdana"/>
                <w:sz w:val="20"/>
                <w:szCs w:val="20"/>
              </w:rPr>
              <w:t>Stalni stiki z ministrstvi (regulirani poklici), SURS (zajemanje in obdelovanje statističnih podatkov), CPI (SOK), univerzami, skupnostmi samostojnih zavodov/šol ter drugimi pravnimi in fizičnimi osebami; spremljanje zakonodaje s posameznih področij…</w:t>
            </w:r>
          </w:p>
        </w:tc>
      </w:tr>
      <w:tr w:rsidR="00406A3D" w:rsidRPr="001345BC" w14:paraId="4140DA73" w14:textId="77777777" w:rsidTr="00E072DF">
        <w:trPr>
          <w:trHeight w:val="274"/>
        </w:trPr>
        <w:tc>
          <w:tcPr>
            <w:tcW w:w="10065" w:type="dxa"/>
            <w:gridSpan w:val="2"/>
            <w:shd w:val="clear" w:color="auto" w:fill="E5B8B7" w:themeFill="accent2" w:themeFillTint="66"/>
            <w:hideMark/>
          </w:tcPr>
          <w:p w14:paraId="754A5F8F" w14:textId="77777777" w:rsidR="00406A3D" w:rsidRPr="001345BC" w:rsidRDefault="00406A3D" w:rsidP="00406A3D">
            <w:pPr>
              <w:rPr>
                <w:rFonts w:ascii="Verdana" w:hAnsi="Verdana"/>
                <w:b/>
                <w:bCs/>
                <w:sz w:val="20"/>
                <w:szCs w:val="20"/>
              </w:rPr>
            </w:pPr>
            <w:r w:rsidRPr="001345BC">
              <w:rPr>
                <w:rFonts w:ascii="Verdana" w:hAnsi="Verdana"/>
                <w:b/>
                <w:bCs/>
                <w:sz w:val="20"/>
                <w:szCs w:val="20"/>
              </w:rPr>
              <w:t xml:space="preserve">6. Vodenje in posodabljanje evidenc (o akreditacijah, evalvacijah, spremembah...) </w:t>
            </w:r>
          </w:p>
        </w:tc>
      </w:tr>
      <w:tr w:rsidR="00406A3D" w:rsidRPr="001345BC" w14:paraId="08AA7BED" w14:textId="77777777" w:rsidTr="00E072DF">
        <w:trPr>
          <w:trHeight w:val="1785"/>
        </w:trPr>
        <w:tc>
          <w:tcPr>
            <w:tcW w:w="4537" w:type="dxa"/>
            <w:hideMark/>
          </w:tcPr>
          <w:p w14:paraId="70093E06" w14:textId="77777777" w:rsidR="00406A3D" w:rsidRPr="001345BC" w:rsidRDefault="00406A3D" w:rsidP="00406A3D">
            <w:pPr>
              <w:rPr>
                <w:rFonts w:ascii="Verdana" w:hAnsi="Verdana"/>
                <w:sz w:val="20"/>
                <w:szCs w:val="20"/>
              </w:rPr>
            </w:pPr>
            <w:r w:rsidRPr="001345BC">
              <w:rPr>
                <w:rFonts w:ascii="Verdana" w:hAnsi="Verdana"/>
                <w:sz w:val="20"/>
                <w:szCs w:val="20"/>
              </w:rPr>
              <w:t>Spletni rokovnik</w:t>
            </w:r>
          </w:p>
        </w:tc>
        <w:tc>
          <w:tcPr>
            <w:tcW w:w="5528" w:type="dxa"/>
            <w:hideMark/>
          </w:tcPr>
          <w:p w14:paraId="2D9D5AA0" w14:textId="2192E9E8" w:rsidR="00406A3D" w:rsidRPr="001345BC" w:rsidRDefault="00406A3D" w:rsidP="00406A3D">
            <w:pPr>
              <w:rPr>
                <w:rFonts w:ascii="Verdana" w:hAnsi="Verdana"/>
                <w:sz w:val="20"/>
                <w:szCs w:val="20"/>
              </w:rPr>
            </w:pPr>
            <w:r w:rsidRPr="001345BC">
              <w:rPr>
                <w:rFonts w:ascii="Verdana" w:hAnsi="Verdana"/>
                <w:sz w:val="20"/>
                <w:szCs w:val="20"/>
              </w:rPr>
              <w:t>Redno posodabljanje podatkov o stanju vlog v postopku obravnave: rednih akreditacij in evalvacij študijskih programov, zavodov/ šol; izrednih evalvacij zavodov/šol in študijskih programov</w:t>
            </w:r>
            <w:r w:rsidR="00DE6448">
              <w:rPr>
                <w:rFonts w:ascii="Verdana" w:hAnsi="Verdana"/>
                <w:sz w:val="20"/>
                <w:szCs w:val="20"/>
              </w:rPr>
              <w:t>;</w:t>
            </w:r>
            <w:r w:rsidRPr="001345BC">
              <w:rPr>
                <w:rFonts w:ascii="Verdana" w:hAnsi="Verdana"/>
                <w:sz w:val="20"/>
                <w:szCs w:val="20"/>
              </w:rPr>
              <w:t xml:space="preserve"> evalvacij vzorca študijskih programov,  preoblikovanj visokošolskih zavodov,</w:t>
            </w:r>
            <w:r w:rsidR="00DE6448">
              <w:rPr>
                <w:rFonts w:ascii="Verdana" w:hAnsi="Verdana"/>
                <w:sz w:val="20"/>
                <w:szCs w:val="20"/>
              </w:rPr>
              <w:t xml:space="preserve"> </w:t>
            </w:r>
            <w:r w:rsidRPr="001345BC">
              <w:rPr>
                <w:rFonts w:ascii="Verdana" w:hAnsi="Verdana"/>
                <w:sz w:val="20"/>
                <w:szCs w:val="20"/>
              </w:rPr>
              <w:t xml:space="preserve"> transnacionalnih pogodb. </w:t>
            </w:r>
          </w:p>
        </w:tc>
      </w:tr>
      <w:tr w:rsidR="00406A3D" w:rsidRPr="001345BC" w14:paraId="7ECDD640" w14:textId="77777777" w:rsidTr="00E072DF">
        <w:trPr>
          <w:trHeight w:val="765"/>
        </w:trPr>
        <w:tc>
          <w:tcPr>
            <w:tcW w:w="4537" w:type="dxa"/>
            <w:hideMark/>
          </w:tcPr>
          <w:p w14:paraId="0F60F7BC" w14:textId="77777777" w:rsidR="00406A3D" w:rsidRPr="001345BC" w:rsidRDefault="00406A3D" w:rsidP="00406A3D">
            <w:pPr>
              <w:rPr>
                <w:rFonts w:ascii="Verdana" w:hAnsi="Verdana"/>
                <w:sz w:val="20"/>
                <w:szCs w:val="20"/>
              </w:rPr>
            </w:pPr>
            <w:r w:rsidRPr="001345BC">
              <w:rPr>
                <w:rFonts w:ascii="Verdana" w:hAnsi="Verdana"/>
                <w:sz w:val="20"/>
                <w:szCs w:val="20"/>
              </w:rPr>
              <w:t xml:space="preserve">Evidence o vlogah  </w:t>
            </w:r>
          </w:p>
        </w:tc>
        <w:tc>
          <w:tcPr>
            <w:tcW w:w="5528" w:type="dxa"/>
            <w:hideMark/>
          </w:tcPr>
          <w:p w14:paraId="160CA976" w14:textId="1C242EE4" w:rsidR="00406A3D" w:rsidRPr="001345BC" w:rsidRDefault="00406A3D" w:rsidP="00406A3D">
            <w:pPr>
              <w:rPr>
                <w:rFonts w:ascii="Verdana" w:hAnsi="Verdana"/>
                <w:sz w:val="20"/>
                <w:szCs w:val="20"/>
              </w:rPr>
            </w:pPr>
            <w:r w:rsidRPr="001345BC">
              <w:rPr>
                <w:rFonts w:ascii="Verdana" w:hAnsi="Verdana"/>
                <w:sz w:val="20"/>
                <w:szCs w:val="20"/>
              </w:rPr>
              <w:t>Evidence o  akreditacijah in evalvacijah študijskih programov, zavodov/ šol,</w:t>
            </w:r>
            <w:r w:rsidR="00DE6448">
              <w:rPr>
                <w:rFonts w:ascii="Verdana" w:hAnsi="Verdana"/>
                <w:sz w:val="20"/>
                <w:szCs w:val="20"/>
              </w:rPr>
              <w:t xml:space="preserve"> </w:t>
            </w:r>
            <w:r w:rsidRPr="001345BC">
              <w:rPr>
                <w:rFonts w:ascii="Verdana" w:hAnsi="Verdana"/>
                <w:sz w:val="20"/>
                <w:szCs w:val="20"/>
              </w:rPr>
              <w:t xml:space="preserve">transnacionalnih pogodbah, priglasitvah.  </w:t>
            </w:r>
          </w:p>
        </w:tc>
      </w:tr>
      <w:tr w:rsidR="00406A3D" w:rsidRPr="001345BC" w14:paraId="11CC188B" w14:textId="77777777" w:rsidTr="00E072DF">
        <w:trPr>
          <w:trHeight w:val="1275"/>
        </w:trPr>
        <w:tc>
          <w:tcPr>
            <w:tcW w:w="4537" w:type="dxa"/>
            <w:hideMark/>
          </w:tcPr>
          <w:p w14:paraId="39A152E8" w14:textId="77777777" w:rsidR="00406A3D" w:rsidRPr="001345BC" w:rsidRDefault="00406A3D" w:rsidP="00406A3D">
            <w:pPr>
              <w:rPr>
                <w:rFonts w:ascii="Verdana" w:hAnsi="Verdana"/>
                <w:sz w:val="20"/>
                <w:szCs w:val="20"/>
              </w:rPr>
            </w:pPr>
            <w:r w:rsidRPr="001345BC">
              <w:rPr>
                <w:rFonts w:ascii="Verdana" w:hAnsi="Verdana"/>
                <w:sz w:val="20"/>
                <w:szCs w:val="20"/>
              </w:rPr>
              <w:t>Evidence o akreditacijskih in evalvacijskih odločitvah</w:t>
            </w:r>
          </w:p>
        </w:tc>
        <w:tc>
          <w:tcPr>
            <w:tcW w:w="5528" w:type="dxa"/>
            <w:hideMark/>
          </w:tcPr>
          <w:p w14:paraId="7CF65948" w14:textId="77777777" w:rsidR="00406A3D" w:rsidRPr="001345BC" w:rsidRDefault="00406A3D" w:rsidP="00406A3D">
            <w:pPr>
              <w:rPr>
                <w:rFonts w:ascii="Verdana" w:hAnsi="Verdana"/>
                <w:sz w:val="20"/>
                <w:szCs w:val="20"/>
              </w:rPr>
            </w:pPr>
            <w:r w:rsidRPr="001345BC">
              <w:rPr>
                <w:rFonts w:ascii="Verdana" w:hAnsi="Verdana"/>
                <w:sz w:val="20"/>
                <w:szCs w:val="20"/>
              </w:rPr>
              <w:t>Evidence o izdanih in dokončnih odločbah, objavljanje poročil skupin strokovnjakov, odločb, mnenj, redno pregledovanje in posodabljanje, posredovanje podatkov v eVŠ, MIZŠ (mnenja za  šole), SURS in CPI…</w:t>
            </w:r>
          </w:p>
        </w:tc>
      </w:tr>
      <w:tr w:rsidR="00406A3D" w:rsidRPr="001345BC" w14:paraId="245D35F3" w14:textId="77777777" w:rsidTr="00E072DF">
        <w:trPr>
          <w:trHeight w:val="510"/>
        </w:trPr>
        <w:tc>
          <w:tcPr>
            <w:tcW w:w="4537" w:type="dxa"/>
            <w:hideMark/>
          </w:tcPr>
          <w:p w14:paraId="5DD649DC" w14:textId="77777777" w:rsidR="00406A3D" w:rsidRPr="001345BC" w:rsidRDefault="00406A3D" w:rsidP="00406A3D">
            <w:pPr>
              <w:rPr>
                <w:rFonts w:ascii="Verdana" w:hAnsi="Verdana"/>
                <w:sz w:val="20"/>
                <w:szCs w:val="20"/>
              </w:rPr>
            </w:pPr>
            <w:r w:rsidRPr="001345BC">
              <w:rPr>
                <w:rFonts w:ascii="Verdana" w:hAnsi="Verdana"/>
                <w:sz w:val="20"/>
                <w:szCs w:val="20"/>
              </w:rPr>
              <w:t>Evidence o spremembah študijskih programov</w:t>
            </w:r>
          </w:p>
        </w:tc>
        <w:tc>
          <w:tcPr>
            <w:tcW w:w="5528" w:type="dxa"/>
            <w:hideMark/>
          </w:tcPr>
          <w:p w14:paraId="00DC7410" w14:textId="77777777" w:rsidR="00406A3D" w:rsidRPr="001345BC" w:rsidRDefault="00406A3D" w:rsidP="00406A3D">
            <w:pPr>
              <w:rPr>
                <w:rFonts w:ascii="Verdana" w:hAnsi="Verdana"/>
                <w:sz w:val="20"/>
                <w:szCs w:val="20"/>
              </w:rPr>
            </w:pPr>
            <w:r w:rsidRPr="001345BC">
              <w:rPr>
                <w:rFonts w:ascii="Verdana" w:hAnsi="Verdana"/>
                <w:sz w:val="20"/>
                <w:szCs w:val="20"/>
              </w:rPr>
              <w:t>Redno pregledovanje in posodabljanje evidenc o spremembah, posredovanje v eVŠ.</w:t>
            </w:r>
          </w:p>
        </w:tc>
      </w:tr>
      <w:tr w:rsidR="00406A3D" w:rsidRPr="001345BC" w14:paraId="1E61C653" w14:textId="77777777" w:rsidTr="00E072DF">
        <w:trPr>
          <w:trHeight w:val="765"/>
        </w:trPr>
        <w:tc>
          <w:tcPr>
            <w:tcW w:w="4537" w:type="dxa"/>
            <w:hideMark/>
          </w:tcPr>
          <w:p w14:paraId="26EB5E3B" w14:textId="77777777" w:rsidR="00406A3D" w:rsidRPr="001345BC" w:rsidRDefault="00406A3D" w:rsidP="00406A3D">
            <w:pPr>
              <w:rPr>
                <w:rFonts w:ascii="Verdana" w:hAnsi="Verdana"/>
                <w:sz w:val="20"/>
                <w:szCs w:val="20"/>
              </w:rPr>
            </w:pPr>
            <w:r w:rsidRPr="001345BC">
              <w:rPr>
                <w:rFonts w:ascii="Verdana" w:hAnsi="Verdana"/>
                <w:sz w:val="20"/>
                <w:szCs w:val="20"/>
              </w:rPr>
              <w:t xml:space="preserve">Obdelava in objava strokovnih in znanstvenih naslovov </w:t>
            </w:r>
          </w:p>
        </w:tc>
        <w:tc>
          <w:tcPr>
            <w:tcW w:w="5528" w:type="dxa"/>
            <w:hideMark/>
          </w:tcPr>
          <w:p w14:paraId="2E8AD031" w14:textId="77777777" w:rsidR="00406A3D" w:rsidRPr="001345BC" w:rsidRDefault="00406A3D" w:rsidP="00406A3D">
            <w:pPr>
              <w:rPr>
                <w:rFonts w:ascii="Verdana" w:hAnsi="Verdana"/>
                <w:sz w:val="20"/>
                <w:szCs w:val="20"/>
              </w:rPr>
            </w:pPr>
            <w:r w:rsidRPr="001345BC">
              <w:rPr>
                <w:rFonts w:ascii="Verdana" w:hAnsi="Verdana"/>
                <w:sz w:val="20"/>
                <w:szCs w:val="20"/>
              </w:rPr>
              <w:t xml:space="preserve">Pregledovanje strokovnih in znanstvenih naslovov ter pravilnosti njihovih okrajšav, priprava seznamov za objavo.  </w:t>
            </w:r>
          </w:p>
        </w:tc>
      </w:tr>
      <w:tr w:rsidR="00406A3D" w:rsidRPr="001345BC" w14:paraId="761884CE" w14:textId="77777777" w:rsidTr="00E072DF">
        <w:trPr>
          <w:trHeight w:val="255"/>
        </w:trPr>
        <w:tc>
          <w:tcPr>
            <w:tcW w:w="10065" w:type="dxa"/>
            <w:gridSpan w:val="2"/>
            <w:shd w:val="clear" w:color="auto" w:fill="E5B8B7" w:themeFill="accent2" w:themeFillTint="66"/>
            <w:hideMark/>
          </w:tcPr>
          <w:p w14:paraId="28022A2B" w14:textId="77777777" w:rsidR="00406A3D" w:rsidRPr="001345BC" w:rsidRDefault="00406A3D" w:rsidP="00406A3D">
            <w:pPr>
              <w:rPr>
                <w:rFonts w:ascii="Verdana" w:hAnsi="Verdana"/>
                <w:b/>
                <w:bCs/>
                <w:sz w:val="20"/>
                <w:szCs w:val="20"/>
              </w:rPr>
            </w:pPr>
            <w:r w:rsidRPr="001345BC">
              <w:rPr>
                <w:rFonts w:ascii="Verdana" w:hAnsi="Verdana"/>
                <w:b/>
                <w:bCs/>
                <w:sz w:val="20"/>
                <w:szCs w:val="20"/>
              </w:rPr>
              <w:t xml:space="preserve">7. Arhiviranje vlog in drugih dokumentov </w:t>
            </w:r>
          </w:p>
        </w:tc>
      </w:tr>
      <w:tr w:rsidR="00406A3D" w:rsidRPr="001345BC" w14:paraId="367E8F8D" w14:textId="77777777" w:rsidTr="00E072DF">
        <w:trPr>
          <w:trHeight w:val="1275"/>
        </w:trPr>
        <w:tc>
          <w:tcPr>
            <w:tcW w:w="4537" w:type="dxa"/>
            <w:hideMark/>
          </w:tcPr>
          <w:p w14:paraId="25ABB87A" w14:textId="77777777" w:rsidR="00406A3D" w:rsidRPr="001345BC" w:rsidRDefault="00406A3D" w:rsidP="00406A3D">
            <w:pPr>
              <w:rPr>
                <w:rFonts w:ascii="Verdana" w:hAnsi="Verdana"/>
                <w:sz w:val="20"/>
                <w:szCs w:val="20"/>
              </w:rPr>
            </w:pPr>
            <w:r w:rsidRPr="001345BC">
              <w:rPr>
                <w:rFonts w:ascii="Verdana" w:hAnsi="Verdana"/>
                <w:sz w:val="20"/>
                <w:szCs w:val="20"/>
              </w:rPr>
              <w:t>Vodenje arhiva agencije</w:t>
            </w:r>
          </w:p>
        </w:tc>
        <w:tc>
          <w:tcPr>
            <w:tcW w:w="5528" w:type="dxa"/>
            <w:hideMark/>
          </w:tcPr>
          <w:p w14:paraId="47D0F61D" w14:textId="488966A9" w:rsidR="00406A3D" w:rsidRPr="001345BC" w:rsidRDefault="00DE6448" w:rsidP="00ED351D">
            <w:pPr>
              <w:rPr>
                <w:rFonts w:ascii="Verdana" w:hAnsi="Verdana"/>
                <w:sz w:val="20"/>
                <w:szCs w:val="20"/>
              </w:rPr>
            </w:pPr>
            <w:r>
              <w:rPr>
                <w:rFonts w:ascii="Verdana" w:hAnsi="Verdana"/>
                <w:sz w:val="20"/>
                <w:szCs w:val="20"/>
              </w:rPr>
              <w:t>P</w:t>
            </w:r>
            <w:r w:rsidR="00406A3D" w:rsidRPr="001345BC">
              <w:rPr>
                <w:rFonts w:ascii="Verdana" w:hAnsi="Verdana"/>
                <w:sz w:val="20"/>
                <w:szCs w:val="20"/>
              </w:rPr>
              <w:t xml:space="preserve">regled spisov, priprava gradiva ob vprašanjih s področja javno dostopnih informacij v zvezi z </w:t>
            </w:r>
            <w:proofErr w:type="spellStart"/>
            <w:r w:rsidR="00406A3D" w:rsidRPr="001345BC">
              <w:rPr>
                <w:rFonts w:ascii="Verdana" w:hAnsi="Verdana"/>
                <w:sz w:val="20"/>
                <w:szCs w:val="20"/>
              </w:rPr>
              <w:t>akreditacijskimi</w:t>
            </w:r>
            <w:proofErr w:type="spellEnd"/>
            <w:r w:rsidR="00406A3D" w:rsidRPr="001345BC">
              <w:rPr>
                <w:rFonts w:ascii="Verdana" w:hAnsi="Verdana"/>
                <w:sz w:val="20"/>
                <w:szCs w:val="20"/>
              </w:rPr>
              <w:t xml:space="preserve"> in </w:t>
            </w:r>
            <w:proofErr w:type="spellStart"/>
            <w:r w:rsidR="00406A3D" w:rsidRPr="001345BC">
              <w:rPr>
                <w:rFonts w:ascii="Verdana" w:hAnsi="Verdana"/>
                <w:sz w:val="20"/>
                <w:szCs w:val="20"/>
              </w:rPr>
              <w:t>evalvacijskimi</w:t>
            </w:r>
            <w:proofErr w:type="spellEnd"/>
            <w:r w:rsidR="00406A3D" w:rsidRPr="001345BC">
              <w:rPr>
                <w:rFonts w:ascii="Verdana" w:hAnsi="Verdana"/>
                <w:sz w:val="20"/>
                <w:szCs w:val="20"/>
              </w:rPr>
              <w:t xml:space="preserve"> vlogami, odbira in oddaja </w:t>
            </w:r>
            <w:r w:rsidR="00ED351D">
              <w:rPr>
                <w:rFonts w:ascii="Verdana" w:hAnsi="Verdana"/>
                <w:sz w:val="20"/>
                <w:szCs w:val="20"/>
              </w:rPr>
              <w:t>A</w:t>
            </w:r>
            <w:r w:rsidR="00406A3D" w:rsidRPr="001345BC">
              <w:rPr>
                <w:rFonts w:ascii="Verdana" w:hAnsi="Verdana"/>
                <w:sz w:val="20"/>
                <w:szCs w:val="20"/>
              </w:rPr>
              <w:t xml:space="preserve">rhivu Slovenije, izobraževanje s področja, usklajevanje klasifikacijskega načrta zadev… </w:t>
            </w:r>
          </w:p>
        </w:tc>
      </w:tr>
      <w:tr w:rsidR="00C11985" w:rsidRPr="00E525AF" w14:paraId="4EE43D24" w14:textId="77777777" w:rsidTr="00E072DF">
        <w:trPr>
          <w:trHeight w:val="274"/>
        </w:trPr>
        <w:tc>
          <w:tcPr>
            <w:tcW w:w="10065" w:type="dxa"/>
            <w:gridSpan w:val="2"/>
            <w:shd w:val="clear" w:color="auto" w:fill="B8CCE4" w:themeFill="accent1" w:themeFillTint="66"/>
            <w:noWrap/>
            <w:hideMark/>
          </w:tcPr>
          <w:p w14:paraId="32E8D990" w14:textId="77777777" w:rsidR="00C11985" w:rsidRPr="0041199F" w:rsidRDefault="00C11985" w:rsidP="00580769">
            <w:pPr>
              <w:rPr>
                <w:rFonts w:ascii="Verdana" w:eastAsia="Times New Roman" w:hAnsi="Verdana" w:cs="Times New Roman"/>
                <w:b/>
                <w:bCs/>
                <w:color w:val="000000"/>
                <w:sz w:val="20"/>
                <w:szCs w:val="20"/>
                <w:lang w:eastAsia="sl-SI"/>
              </w:rPr>
            </w:pPr>
          </w:p>
          <w:p w14:paraId="29EF3C09" w14:textId="77777777" w:rsidR="00C11985" w:rsidRPr="00E072DF" w:rsidRDefault="00C11985" w:rsidP="00580769">
            <w:pPr>
              <w:ind w:left="360"/>
              <w:jc w:val="center"/>
              <w:rPr>
                <w:rFonts w:ascii="Verdana" w:eastAsia="Times New Roman" w:hAnsi="Verdana"/>
                <w:b/>
                <w:bCs/>
                <w:color w:val="000000"/>
                <w:sz w:val="20"/>
                <w:szCs w:val="20"/>
                <w:lang w:eastAsia="sl-SI"/>
              </w:rPr>
            </w:pPr>
            <w:r w:rsidRPr="00E072DF">
              <w:rPr>
                <w:rFonts w:ascii="Verdana" w:eastAsia="Times New Roman" w:hAnsi="Verdana"/>
                <w:b/>
                <w:bCs/>
                <w:color w:val="000000"/>
                <w:sz w:val="20"/>
                <w:szCs w:val="20"/>
                <w:lang w:eastAsia="sl-SI"/>
              </w:rPr>
              <w:t>SEKTOR ZA ANALIZE, MEDNARODNO SODELOVANJE IN INFORMATIZACIJO AGENCIJE</w:t>
            </w:r>
          </w:p>
          <w:p w14:paraId="59DEED20" w14:textId="77777777" w:rsidR="00C11985" w:rsidRPr="00E072DF" w:rsidRDefault="00C11985" w:rsidP="00580769">
            <w:pPr>
              <w:jc w:val="center"/>
              <w:rPr>
                <w:rFonts w:ascii="Verdana" w:eastAsia="Times New Roman" w:hAnsi="Verdana"/>
                <w:b/>
                <w:bCs/>
                <w:color w:val="000000"/>
                <w:sz w:val="20"/>
                <w:szCs w:val="20"/>
                <w:lang w:eastAsia="sl-SI"/>
              </w:rPr>
            </w:pPr>
          </w:p>
          <w:p w14:paraId="583BC5E1" w14:textId="77777777" w:rsidR="00C11985" w:rsidRPr="00E072DF" w:rsidRDefault="00C11985" w:rsidP="00580769">
            <w:pPr>
              <w:rPr>
                <w:rFonts w:ascii="Verdana" w:eastAsia="Times New Roman" w:hAnsi="Verdana"/>
                <w:b/>
                <w:bCs/>
                <w:color w:val="000000"/>
                <w:sz w:val="20"/>
                <w:szCs w:val="20"/>
                <w:lang w:eastAsia="sl-SI"/>
              </w:rPr>
            </w:pPr>
            <w:r w:rsidRPr="00E072DF">
              <w:rPr>
                <w:rFonts w:ascii="Verdana" w:eastAsia="Times New Roman" w:hAnsi="Verdana"/>
                <w:b/>
                <w:bCs/>
                <w:color w:val="000000"/>
                <w:sz w:val="20"/>
                <w:szCs w:val="20"/>
                <w:lang w:eastAsia="sl-SI"/>
              </w:rPr>
              <w:t>Temeljna delovna področja sektorja:</w:t>
            </w:r>
          </w:p>
          <w:p w14:paraId="0823401A" w14:textId="77777777" w:rsidR="00C11985" w:rsidRPr="00E072DF" w:rsidRDefault="00C11985" w:rsidP="00580769">
            <w:pPr>
              <w:pStyle w:val="Odstavekseznama"/>
              <w:numPr>
                <w:ilvl w:val="0"/>
                <w:numId w:val="4"/>
              </w:numPr>
              <w:jc w:val="both"/>
              <w:rPr>
                <w:rFonts w:ascii="Verdana" w:eastAsia="Times New Roman" w:hAnsi="Verdana"/>
                <w:b/>
                <w:sz w:val="20"/>
                <w:szCs w:val="20"/>
              </w:rPr>
            </w:pPr>
            <w:r w:rsidRPr="00E072DF">
              <w:rPr>
                <w:rFonts w:ascii="Verdana" w:eastAsia="Times New Roman" w:hAnsi="Verdana"/>
                <w:b/>
                <w:sz w:val="20"/>
                <w:szCs w:val="20"/>
              </w:rPr>
              <w:t>analize, dokumenti, publikacije;</w:t>
            </w:r>
          </w:p>
          <w:p w14:paraId="4B5EE67C" w14:textId="77777777" w:rsidR="00C11985" w:rsidRPr="00E072DF" w:rsidRDefault="00C11985" w:rsidP="00580769">
            <w:pPr>
              <w:pStyle w:val="Odstavekseznama"/>
              <w:numPr>
                <w:ilvl w:val="0"/>
                <w:numId w:val="4"/>
              </w:numPr>
              <w:jc w:val="both"/>
              <w:rPr>
                <w:rFonts w:ascii="Verdana" w:eastAsia="Times New Roman" w:hAnsi="Verdana"/>
                <w:b/>
                <w:sz w:val="20"/>
                <w:szCs w:val="20"/>
              </w:rPr>
            </w:pPr>
            <w:r w:rsidRPr="00E072DF">
              <w:rPr>
                <w:rFonts w:ascii="Verdana" w:eastAsia="Times New Roman" w:hAnsi="Verdana"/>
                <w:b/>
                <w:sz w:val="20"/>
                <w:szCs w:val="20"/>
              </w:rPr>
              <w:t>samoevalvacija agencije;</w:t>
            </w:r>
          </w:p>
          <w:p w14:paraId="12BCF000" w14:textId="77777777" w:rsidR="00C11985" w:rsidRPr="00E072DF" w:rsidRDefault="00C11985" w:rsidP="00580769">
            <w:pPr>
              <w:pStyle w:val="Odstavekseznama"/>
              <w:numPr>
                <w:ilvl w:val="0"/>
                <w:numId w:val="4"/>
              </w:numPr>
              <w:jc w:val="both"/>
              <w:rPr>
                <w:rFonts w:ascii="Verdana" w:eastAsia="Times New Roman" w:hAnsi="Verdana"/>
                <w:b/>
                <w:sz w:val="20"/>
                <w:szCs w:val="20"/>
              </w:rPr>
            </w:pPr>
            <w:r w:rsidRPr="00E072DF">
              <w:rPr>
                <w:rFonts w:ascii="Verdana" w:eastAsia="Times New Roman" w:hAnsi="Verdana"/>
                <w:b/>
                <w:sz w:val="20"/>
                <w:szCs w:val="20"/>
              </w:rPr>
              <w:t>mednarodno delovanje;</w:t>
            </w:r>
          </w:p>
          <w:p w14:paraId="754FF861" w14:textId="77777777" w:rsidR="00C11985" w:rsidRPr="00E072DF" w:rsidRDefault="00C11985" w:rsidP="00580769">
            <w:pPr>
              <w:pStyle w:val="Odstavekseznama"/>
              <w:numPr>
                <w:ilvl w:val="0"/>
                <w:numId w:val="4"/>
              </w:numPr>
              <w:jc w:val="both"/>
              <w:rPr>
                <w:rFonts w:ascii="Verdana" w:eastAsia="Times New Roman" w:hAnsi="Verdana"/>
                <w:b/>
                <w:sz w:val="20"/>
                <w:szCs w:val="20"/>
              </w:rPr>
            </w:pPr>
            <w:r w:rsidRPr="00E072DF">
              <w:rPr>
                <w:rFonts w:ascii="Verdana" w:eastAsia="Times New Roman" w:hAnsi="Verdana"/>
                <w:b/>
                <w:sz w:val="20"/>
                <w:szCs w:val="20"/>
              </w:rPr>
              <w:t>organizacija in sodelovanje pri različnih dogodkih (konference, posveti, delavnice ipd.);</w:t>
            </w:r>
          </w:p>
          <w:p w14:paraId="17F88CEA" w14:textId="77777777" w:rsidR="00C11985" w:rsidRPr="00E072DF" w:rsidRDefault="00C11985" w:rsidP="00580769">
            <w:pPr>
              <w:numPr>
                <w:ilvl w:val="0"/>
                <w:numId w:val="4"/>
              </w:numPr>
              <w:rPr>
                <w:rFonts w:ascii="Verdana" w:hAnsi="Verdana"/>
                <w:b/>
                <w:sz w:val="20"/>
                <w:szCs w:val="20"/>
              </w:rPr>
            </w:pPr>
            <w:r w:rsidRPr="00E072DF">
              <w:rPr>
                <w:rFonts w:ascii="Verdana" w:eastAsia="Times New Roman" w:hAnsi="Verdana"/>
                <w:b/>
                <w:sz w:val="20"/>
                <w:szCs w:val="20"/>
              </w:rPr>
              <w:t>eNakvis in povezovanje s podatkovnimi bazami (SICRIS, IZUM);</w:t>
            </w:r>
          </w:p>
          <w:p w14:paraId="5830456D" w14:textId="45553356" w:rsidR="00C11985" w:rsidRPr="00E072DF" w:rsidRDefault="00C11985" w:rsidP="00E072DF">
            <w:pPr>
              <w:numPr>
                <w:ilvl w:val="0"/>
                <w:numId w:val="4"/>
              </w:numPr>
              <w:rPr>
                <w:rFonts w:ascii="Verdana" w:hAnsi="Verdana"/>
                <w:b/>
                <w:sz w:val="20"/>
                <w:szCs w:val="20"/>
              </w:rPr>
            </w:pPr>
            <w:r w:rsidRPr="00E072DF">
              <w:rPr>
                <w:rFonts w:ascii="Verdana" w:eastAsia="Times New Roman" w:hAnsi="Verdana"/>
                <w:b/>
                <w:sz w:val="20"/>
                <w:szCs w:val="20"/>
              </w:rPr>
              <w:t>komuniciranje.</w:t>
            </w:r>
          </w:p>
        </w:tc>
      </w:tr>
      <w:tr w:rsidR="00C11985" w:rsidRPr="00E525AF" w14:paraId="7E2C34DD" w14:textId="77777777" w:rsidTr="00E072DF">
        <w:trPr>
          <w:trHeight w:val="300"/>
        </w:trPr>
        <w:tc>
          <w:tcPr>
            <w:tcW w:w="10065" w:type="dxa"/>
            <w:gridSpan w:val="2"/>
            <w:shd w:val="clear" w:color="auto" w:fill="B8CCE4" w:themeFill="accent1" w:themeFillTint="66"/>
            <w:noWrap/>
            <w:hideMark/>
          </w:tcPr>
          <w:p w14:paraId="250A600D" w14:textId="77777777" w:rsidR="00C11985" w:rsidRPr="0041199F" w:rsidRDefault="00C11985" w:rsidP="00580769">
            <w:pPr>
              <w:rPr>
                <w:rFonts w:ascii="Verdana" w:eastAsia="Times New Roman" w:hAnsi="Verdana" w:cs="Times New Roman"/>
                <w:b/>
                <w:bCs/>
                <w:color w:val="000000"/>
                <w:sz w:val="20"/>
                <w:szCs w:val="20"/>
                <w:lang w:eastAsia="sl-SI"/>
              </w:rPr>
            </w:pPr>
          </w:p>
          <w:p w14:paraId="709F31B9" w14:textId="77777777" w:rsidR="00431780" w:rsidRDefault="00C11985" w:rsidP="00580769">
            <w:pPr>
              <w:rPr>
                <w:rFonts w:ascii="Verdana" w:eastAsia="Times New Roman" w:hAnsi="Verdana" w:cs="Times New Roman"/>
                <w:b/>
                <w:bCs/>
                <w:color w:val="000000"/>
                <w:sz w:val="20"/>
                <w:szCs w:val="20"/>
                <w:lang w:eastAsia="sl-SI"/>
              </w:rPr>
            </w:pPr>
            <w:r w:rsidRPr="00BC2666">
              <w:rPr>
                <w:rFonts w:ascii="Verdana" w:eastAsia="Times New Roman" w:hAnsi="Verdana" w:cs="Times New Roman"/>
                <w:b/>
                <w:bCs/>
                <w:color w:val="000000"/>
                <w:sz w:val="20"/>
                <w:szCs w:val="20"/>
                <w:lang w:eastAsia="sl-SI"/>
              </w:rPr>
              <w:t xml:space="preserve">vodja Klemen Šubic, nadomešča ga Maja Milas  </w:t>
            </w:r>
          </w:p>
          <w:p w14:paraId="1A13A1A0" w14:textId="0B04AE64" w:rsidR="00C11985" w:rsidRPr="0041199F" w:rsidRDefault="00C11985" w:rsidP="00580769">
            <w:pPr>
              <w:rPr>
                <w:rFonts w:ascii="Verdana" w:eastAsia="Times New Roman" w:hAnsi="Verdana" w:cs="Times New Roman"/>
                <w:b/>
                <w:bCs/>
                <w:color w:val="000000"/>
                <w:sz w:val="20"/>
                <w:szCs w:val="20"/>
                <w:lang w:eastAsia="sl-SI"/>
              </w:rPr>
            </w:pPr>
            <w:r w:rsidRPr="0041199F">
              <w:rPr>
                <w:rFonts w:ascii="Verdana" w:eastAsia="Times New Roman" w:hAnsi="Verdana" w:cs="Times New Roman"/>
                <w:b/>
                <w:bCs/>
                <w:color w:val="000000"/>
                <w:sz w:val="20"/>
                <w:szCs w:val="20"/>
                <w:lang w:eastAsia="sl-SI"/>
              </w:rPr>
              <w:t xml:space="preserve">strokovni delavci: Andrej </w:t>
            </w:r>
            <w:proofErr w:type="spellStart"/>
            <w:r w:rsidRPr="0041199F">
              <w:rPr>
                <w:rFonts w:ascii="Verdana" w:eastAsia="Times New Roman" w:hAnsi="Verdana" w:cs="Times New Roman"/>
                <w:b/>
                <w:bCs/>
                <w:color w:val="000000"/>
                <w:sz w:val="20"/>
                <w:szCs w:val="20"/>
                <w:lang w:eastAsia="sl-SI"/>
              </w:rPr>
              <w:t>Krček</w:t>
            </w:r>
            <w:proofErr w:type="spellEnd"/>
            <w:r w:rsidRPr="0041199F">
              <w:rPr>
                <w:rFonts w:ascii="Verdana" w:eastAsia="Times New Roman" w:hAnsi="Verdana" w:cs="Times New Roman"/>
                <w:b/>
                <w:bCs/>
                <w:color w:val="000000"/>
                <w:sz w:val="20"/>
                <w:szCs w:val="20"/>
                <w:lang w:eastAsia="sl-SI"/>
              </w:rPr>
              <w:t>, Jernej Širok, Tatjana Horvat in Tilen Heco</w:t>
            </w:r>
          </w:p>
        </w:tc>
      </w:tr>
      <w:tr w:rsidR="00C11985" w:rsidRPr="001345BC" w14:paraId="0EAFC3DE" w14:textId="77777777" w:rsidTr="00E072DF">
        <w:trPr>
          <w:trHeight w:val="270"/>
        </w:trPr>
        <w:tc>
          <w:tcPr>
            <w:tcW w:w="4537" w:type="dxa"/>
            <w:shd w:val="clear" w:color="auto" w:fill="C2D69B" w:themeFill="accent3" w:themeFillTint="99"/>
            <w:hideMark/>
          </w:tcPr>
          <w:p w14:paraId="0E1C010B" w14:textId="77777777" w:rsidR="00C11985" w:rsidRPr="001345BC" w:rsidRDefault="00C11985" w:rsidP="00580769">
            <w:pPr>
              <w:rPr>
                <w:rFonts w:ascii="Verdana" w:hAnsi="Verdana"/>
                <w:b/>
                <w:bCs/>
                <w:sz w:val="20"/>
                <w:szCs w:val="20"/>
              </w:rPr>
            </w:pPr>
            <w:r w:rsidRPr="001345BC">
              <w:rPr>
                <w:rFonts w:ascii="Verdana" w:hAnsi="Verdana"/>
                <w:b/>
                <w:bCs/>
                <w:sz w:val="20"/>
                <w:szCs w:val="20"/>
              </w:rPr>
              <w:t>naloga</w:t>
            </w:r>
          </w:p>
        </w:tc>
        <w:tc>
          <w:tcPr>
            <w:tcW w:w="5528" w:type="dxa"/>
            <w:shd w:val="clear" w:color="auto" w:fill="C2D69B" w:themeFill="accent3" w:themeFillTint="99"/>
            <w:hideMark/>
          </w:tcPr>
          <w:p w14:paraId="6360ABE8" w14:textId="77777777" w:rsidR="00C11985" w:rsidRPr="001345BC" w:rsidRDefault="00C11985" w:rsidP="00580769">
            <w:pPr>
              <w:rPr>
                <w:rFonts w:ascii="Verdana" w:hAnsi="Verdana"/>
                <w:b/>
                <w:bCs/>
                <w:sz w:val="20"/>
                <w:szCs w:val="20"/>
              </w:rPr>
            </w:pPr>
            <w:r w:rsidRPr="001345BC">
              <w:rPr>
                <w:rFonts w:ascii="Verdana" w:hAnsi="Verdana"/>
                <w:b/>
                <w:bCs/>
                <w:sz w:val="20"/>
                <w:szCs w:val="20"/>
              </w:rPr>
              <w:t>vsebina</w:t>
            </w:r>
          </w:p>
        </w:tc>
      </w:tr>
      <w:tr w:rsidR="00406A3D" w:rsidRPr="001345BC" w14:paraId="449E5A86" w14:textId="77777777" w:rsidTr="00E072DF">
        <w:trPr>
          <w:trHeight w:val="255"/>
        </w:trPr>
        <w:tc>
          <w:tcPr>
            <w:tcW w:w="10065" w:type="dxa"/>
            <w:gridSpan w:val="2"/>
            <w:shd w:val="clear" w:color="auto" w:fill="E5B8B7" w:themeFill="accent2" w:themeFillTint="66"/>
            <w:hideMark/>
          </w:tcPr>
          <w:p w14:paraId="311D1AEA" w14:textId="77777777" w:rsidR="00406A3D" w:rsidRPr="001345BC" w:rsidRDefault="00406A3D" w:rsidP="00406A3D">
            <w:pPr>
              <w:rPr>
                <w:rFonts w:ascii="Verdana" w:hAnsi="Verdana"/>
                <w:b/>
                <w:bCs/>
                <w:sz w:val="20"/>
                <w:szCs w:val="20"/>
              </w:rPr>
            </w:pPr>
            <w:r w:rsidRPr="001345BC">
              <w:rPr>
                <w:rFonts w:ascii="Verdana" w:hAnsi="Verdana"/>
                <w:b/>
                <w:bCs/>
                <w:sz w:val="20"/>
                <w:szCs w:val="20"/>
              </w:rPr>
              <w:t xml:space="preserve">1. Analize, dokumenti, publikacije </w:t>
            </w:r>
          </w:p>
        </w:tc>
      </w:tr>
      <w:tr w:rsidR="00406A3D" w:rsidRPr="001345BC" w14:paraId="326BDD8E" w14:textId="77777777" w:rsidTr="00E072DF">
        <w:trPr>
          <w:trHeight w:val="840"/>
        </w:trPr>
        <w:tc>
          <w:tcPr>
            <w:tcW w:w="4537" w:type="dxa"/>
            <w:hideMark/>
          </w:tcPr>
          <w:p w14:paraId="0A03A684" w14:textId="77777777" w:rsidR="00406A3D" w:rsidRPr="001345BC" w:rsidRDefault="00406A3D" w:rsidP="00406A3D">
            <w:pPr>
              <w:rPr>
                <w:rFonts w:ascii="Verdana" w:hAnsi="Verdana"/>
                <w:sz w:val="20"/>
                <w:szCs w:val="20"/>
              </w:rPr>
            </w:pPr>
            <w:r w:rsidRPr="001345BC">
              <w:rPr>
                <w:rFonts w:ascii="Verdana" w:hAnsi="Verdana"/>
                <w:sz w:val="20"/>
                <w:szCs w:val="20"/>
              </w:rPr>
              <w:t>Analize poročil skupin strokovnjakov, samoevalvacijskih poročil zavodov/šol</w:t>
            </w:r>
          </w:p>
        </w:tc>
        <w:tc>
          <w:tcPr>
            <w:tcW w:w="5528" w:type="dxa"/>
            <w:hideMark/>
          </w:tcPr>
          <w:p w14:paraId="4917D5A4" w14:textId="77777777" w:rsidR="00406A3D" w:rsidRPr="001345BC" w:rsidRDefault="00406A3D" w:rsidP="00406A3D">
            <w:pPr>
              <w:rPr>
                <w:rFonts w:ascii="Verdana" w:hAnsi="Verdana"/>
                <w:sz w:val="20"/>
                <w:szCs w:val="20"/>
              </w:rPr>
            </w:pPr>
            <w:r w:rsidRPr="001345BC">
              <w:rPr>
                <w:rFonts w:ascii="Verdana" w:hAnsi="Verdana"/>
                <w:sz w:val="20"/>
                <w:szCs w:val="20"/>
              </w:rPr>
              <w:t>Periodične tematske analize za nadaljnji razvoj agencije (zbiranje, obdelava in analiziranje podatkov, priprava vsebinskih analiz).</w:t>
            </w:r>
          </w:p>
        </w:tc>
      </w:tr>
      <w:tr w:rsidR="00406A3D" w:rsidRPr="001345BC" w14:paraId="20432BCD" w14:textId="77777777" w:rsidTr="00E072DF">
        <w:trPr>
          <w:trHeight w:val="255"/>
        </w:trPr>
        <w:tc>
          <w:tcPr>
            <w:tcW w:w="10065" w:type="dxa"/>
            <w:gridSpan w:val="2"/>
            <w:shd w:val="clear" w:color="auto" w:fill="E5B8B7" w:themeFill="accent2" w:themeFillTint="66"/>
            <w:hideMark/>
          </w:tcPr>
          <w:p w14:paraId="6F1F566B" w14:textId="77777777" w:rsidR="00406A3D" w:rsidRPr="001345BC" w:rsidRDefault="00406A3D" w:rsidP="00406A3D">
            <w:pPr>
              <w:rPr>
                <w:rFonts w:ascii="Verdana" w:hAnsi="Verdana"/>
                <w:b/>
                <w:bCs/>
                <w:sz w:val="20"/>
                <w:szCs w:val="20"/>
              </w:rPr>
            </w:pPr>
            <w:r w:rsidRPr="001345BC">
              <w:rPr>
                <w:rFonts w:ascii="Verdana" w:hAnsi="Verdana"/>
                <w:b/>
                <w:bCs/>
                <w:sz w:val="20"/>
                <w:szCs w:val="20"/>
              </w:rPr>
              <w:t xml:space="preserve">2. Samoevalvacija agencije </w:t>
            </w:r>
          </w:p>
        </w:tc>
      </w:tr>
      <w:tr w:rsidR="00406A3D" w:rsidRPr="001345BC" w14:paraId="3D71D70E" w14:textId="77777777" w:rsidTr="00E072DF">
        <w:trPr>
          <w:trHeight w:val="765"/>
        </w:trPr>
        <w:tc>
          <w:tcPr>
            <w:tcW w:w="4537" w:type="dxa"/>
            <w:hideMark/>
          </w:tcPr>
          <w:p w14:paraId="4BF424B9" w14:textId="77777777" w:rsidR="00406A3D" w:rsidRPr="001345BC" w:rsidRDefault="00406A3D" w:rsidP="00406A3D">
            <w:pPr>
              <w:rPr>
                <w:rFonts w:ascii="Verdana" w:hAnsi="Verdana"/>
                <w:sz w:val="20"/>
                <w:szCs w:val="20"/>
              </w:rPr>
            </w:pPr>
            <w:r w:rsidRPr="001345BC">
              <w:rPr>
                <w:rFonts w:ascii="Verdana" w:hAnsi="Verdana"/>
                <w:sz w:val="20"/>
                <w:szCs w:val="20"/>
              </w:rPr>
              <w:t xml:space="preserve">Zbiranje in analiziranje evalvacijskih vprašalnikov </w:t>
            </w:r>
          </w:p>
        </w:tc>
        <w:tc>
          <w:tcPr>
            <w:tcW w:w="5528" w:type="dxa"/>
            <w:hideMark/>
          </w:tcPr>
          <w:p w14:paraId="7031B175" w14:textId="42CE7940" w:rsidR="00406A3D" w:rsidRPr="001345BC" w:rsidRDefault="00406A3D" w:rsidP="0063129A">
            <w:pPr>
              <w:rPr>
                <w:rFonts w:ascii="Verdana" w:hAnsi="Verdana"/>
                <w:sz w:val="20"/>
                <w:szCs w:val="20"/>
              </w:rPr>
            </w:pPr>
            <w:r w:rsidRPr="001345BC">
              <w:rPr>
                <w:rFonts w:ascii="Verdana" w:hAnsi="Verdana"/>
                <w:sz w:val="20"/>
                <w:szCs w:val="20"/>
              </w:rPr>
              <w:t>Analiziranje odgovorov  oziroma mnenj deležnikov ter priprava ugotovitev s predlogi za izboljšanje dela</w:t>
            </w:r>
            <w:r w:rsidR="0063129A">
              <w:rPr>
                <w:rFonts w:ascii="Verdana" w:hAnsi="Verdana"/>
                <w:sz w:val="20"/>
                <w:szCs w:val="20"/>
              </w:rPr>
              <w:t>.</w:t>
            </w:r>
          </w:p>
        </w:tc>
      </w:tr>
      <w:tr w:rsidR="00406A3D" w:rsidRPr="001345BC" w14:paraId="5AFD4AE3" w14:textId="77777777" w:rsidTr="00E072DF">
        <w:trPr>
          <w:trHeight w:val="255"/>
        </w:trPr>
        <w:tc>
          <w:tcPr>
            <w:tcW w:w="10065" w:type="dxa"/>
            <w:gridSpan w:val="2"/>
            <w:shd w:val="clear" w:color="auto" w:fill="E5B8B7" w:themeFill="accent2" w:themeFillTint="66"/>
            <w:hideMark/>
          </w:tcPr>
          <w:p w14:paraId="5354102C" w14:textId="77777777" w:rsidR="00406A3D" w:rsidRPr="001345BC" w:rsidRDefault="00406A3D" w:rsidP="00406A3D">
            <w:pPr>
              <w:rPr>
                <w:rFonts w:ascii="Verdana" w:hAnsi="Verdana"/>
                <w:b/>
                <w:bCs/>
                <w:sz w:val="20"/>
                <w:szCs w:val="20"/>
              </w:rPr>
            </w:pPr>
            <w:r w:rsidRPr="001345BC">
              <w:rPr>
                <w:rFonts w:ascii="Verdana" w:hAnsi="Verdana"/>
                <w:b/>
                <w:bCs/>
                <w:sz w:val="20"/>
                <w:szCs w:val="20"/>
              </w:rPr>
              <w:t xml:space="preserve">3. Mednarodno delovanje </w:t>
            </w:r>
          </w:p>
        </w:tc>
      </w:tr>
      <w:tr w:rsidR="00406A3D" w:rsidRPr="001345BC" w14:paraId="2C874542" w14:textId="77777777" w:rsidTr="00E072DF">
        <w:trPr>
          <w:trHeight w:val="1275"/>
        </w:trPr>
        <w:tc>
          <w:tcPr>
            <w:tcW w:w="4537" w:type="dxa"/>
            <w:hideMark/>
          </w:tcPr>
          <w:p w14:paraId="422EDDAD" w14:textId="77777777" w:rsidR="00406A3D" w:rsidRPr="001345BC" w:rsidRDefault="00406A3D" w:rsidP="00406A3D">
            <w:pPr>
              <w:rPr>
                <w:rFonts w:ascii="Verdana" w:hAnsi="Verdana"/>
                <w:sz w:val="20"/>
                <w:szCs w:val="20"/>
              </w:rPr>
            </w:pPr>
            <w:r w:rsidRPr="001345BC">
              <w:rPr>
                <w:rFonts w:ascii="Verdana" w:hAnsi="Verdana"/>
                <w:sz w:val="20"/>
                <w:szCs w:val="20"/>
              </w:rPr>
              <w:t xml:space="preserve">Sodelovanje v  mednarodnih združenjih: ECA, CEENQA, ENQA, EQAR, INQAAHE) </w:t>
            </w:r>
          </w:p>
        </w:tc>
        <w:tc>
          <w:tcPr>
            <w:tcW w:w="5528" w:type="dxa"/>
            <w:hideMark/>
          </w:tcPr>
          <w:p w14:paraId="1AFB0F51" w14:textId="77777777" w:rsidR="00406A3D" w:rsidRPr="001345BC" w:rsidRDefault="00406A3D" w:rsidP="00406A3D">
            <w:pPr>
              <w:rPr>
                <w:rFonts w:ascii="Verdana" w:hAnsi="Verdana"/>
                <w:sz w:val="20"/>
                <w:szCs w:val="20"/>
              </w:rPr>
            </w:pPr>
            <w:r w:rsidRPr="001345BC">
              <w:rPr>
                <w:rFonts w:ascii="Verdana" w:hAnsi="Verdana"/>
                <w:sz w:val="20"/>
                <w:szCs w:val="20"/>
              </w:rPr>
              <w:t xml:space="preserve">Sodelovanje, povezovanje, udeležba na srečanjih, konferencah, dogodkih, aktivna udeležba </w:t>
            </w:r>
            <w:proofErr w:type="spellStart"/>
            <w:r w:rsidRPr="001345BC">
              <w:rPr>
                <w:rFonts w:ascii="Verdana" w:hAnsi="Verdana"/>
                <w:sz w:val="20"/>
                <w:szCs w:val="20"/>
              </w:rPr>
              <w:t>zaposelnih</w:t>
            </w:r>
            <w:proofErr w:type="spellEnd"/>
            <w:r w:rsidRPr="001345BC">
              <w:rPr>
                <w:rFonts w:ascii="Verdana" w:hAnsi="Verdana"/>
                <w:sz w:val="20"/>
                <w:szCs w:val="20"/>
              </w:rPr>
              <w:t xml:space="preserve"> v delovnih skupinah mednarodnih združenj in upravnih odborih. Predstavljanje NAKVIS v mednarodnem okolju, mreženje…  </w:t>
            </w:r>
          </w:p>
        </w:tc>
      </w:tr>
      <w:tr w:rsidR="00406A3D" w:rsidRPr="001345BC" w14:paraId="5777B88A" w14:textId="77777777" w:rsidTr="00E072DF">
        <w:trPr>
          <w:trHeight w:val="510"/>
        </w:trPr>
        <w:tc>
          <w:tcPr>
            <w:tcW w:w="4537" w:type="dxa"/>
            <w:hideMark/>
          </w:tcPr>
          <w:p w14:paraId="5C78BC9B" w14:textId="77777777" w:rsidR="00406A3D" w:rsidRPr="001345BC" w:rsidRDefault="00406A3D" w:rsidP="00406A3D">
            <w:pPr>
              <w:rPr>
                <w:rFonts w:ascii="Verdana" w:hAnsi="Verdana"/>
                <w:sz w:val="20"/>
                <w:szCs w:val="20"/>
              </w:rPr>
            </w:pPr>
            <w:r w:rsidRPr="001345BC">
              <w:rPr>
                <w:rFonts w:ascii="Verdana" w:hAnsi="Verdana"/>
                <w:sz w:val="20"/>
                <w:szCs w:val="20"/>
              </w:rPr>
              <w:t>Sodelovanje s tujimi agencijami za kakovost (</w:t>
            </w:r>
            <w:proofErr w:type="spellStart"/>
            <w:r w:rsidRPr="001345BC">
              <w:rPr>
                <w:rFonts w:ascii="Verdana" w:hAnsi="Verdana"/>
                <w:sz w:val="20"/>
                <w:szCs w:val="20"/>
              </w:rPr>
              <w:t>bilaterala</w:t>
            </w:r>
            <w:proofErr w:type="spellEnd"/>
            <w:r w:rsidRPr="001345BC">
              <w:rPr>
                <w:rFonts w:ascii="Verdana" w:hAnsi="Verdana"/>
                <w:sz w:val="20"/>
                <w:szCs w:val="20"/>
              </w:rPr>
              <w:t xml:space="preserve">, </w:t>
            </w:r>
            <w:proofErr w:type="spellStart"/>
            <w:r w:rsidRPr="001345BC">
              <w:rPr>
                <w:rFonts w:ascii="Verdana" w:hAnsi="Verdana"/>
                <w:sz w:val="20"/>
                <w:szCs w:val="20"/>
              </w:rPr>
              <w:t>multilaterala</w:t>
            </w:r>
            <w:proofErr w:type="spellEnd"/>
            <w:r w:rsidRPr="001345BC">
              <w:rPr>
                <w:rFonts w:ascii="Verdana" w:hAnsi="Verdana"/>
                <w:sz w:val="20"/>
                <w:szCs w:val="20"/>
              </w:rPr>
              <w:t xml:space="preserve">) in vzpostavitev pogojev za delovanje agencije v tujini </w:t>
            </w:r>
          </w:p>
        </w:tc>
        <w:tc>
          <w:tcPr>
            <w:tcW w:w="5528" w:type="dxa"/>
            <w:hideMark/>
          </w:tcPr>
          <w:p w14:paraId="1EE87907" w14:textId="77777777" w:rsidR="00406A3D" w:rsidRPr="001345BC" w:rsidRDefault="00406A3D" w:rsidP="00406A3D">
            <w:pPr>
              <w:rPr>
                <w:rFonts w:ascii="Verdana" w:hAnsi="Verdana"/>
                <w:sz w:val="20"/>
                <w:szCs w:val="20"/>
              </w:rPr>
            </w:pPr>
            <w:r w:rsidRPr="001345BC">
              <w:rPr>
                <w:rFonts w:ascii="Verdana" w:hAnsi="Verdana"/>
                <w:sz w:val="20"/>
                <w:szCs w:val="20"/>
              </w:rPr>
              <w:t>Opravljanje zunanjih evalvacij v tujini, izmenjava dobrih praks, mreženje, izmenjava strokovnjakov …</w:t>
            </w:r>
          </w:p>
        </w:tc>
      </w:tr>
      <w:tr w:rsidR="00406A3D" w:rsidRPr="001345BC" w14:paraId="1B11663B" w14:textId="77777777" w:rsidTr="00E072DF">
        <w:trPr>
          <w:trHeight w:val="765"/>
        </w:trPr>
        <w:tc>
          <w:tcPr>
            <w:tcW w:w="4537" w:type="dxa"/>
            <w:hideMark/>
          </w:tcPr>
          <w:p w14:paraId="26EF6C69" w14:textId="77777777" w:rsidR="00406A3D" w:rsidRPr="001345BC" w:rsidRDefault="00406A3D" w:rsidP="00406A3D">
            <w:pPr>
              <w:rPr>
                <w:rFonts w:ascii="Verdana" w:hAnsi="Verdana"/>
                <w:sz w:val="20"/>
                <w:szCs w:val="20"/>
              </w:rPr>
            </w:pPr>
            <w:r w:rsidRPr="001345BC">
              <w:rPr>
                <w:rFonts w:ascii="Verdana" w:hAnsi="Verdana"/>
                <w:sz w:val="20"/>
                <w:szCs w:val="20"/>
              </w:rPr>
              <w:t>Udeležba na mednarodnih srečanjih, konferencah, delavnicah</w:t>
            </w:r>
          </w:p>
        </w:tc>
        <w:tc>
          <w:tcPr>
            <w:tcW w:w="5528" w:type="dxa"/>
            <w:hideMark/>
          </w:tcPr>
          <w:p w14:paraId="4A1ECFA9" w14:textId="77777777" w:rsidR="00406A3D" w:rsidRPr="001345BC" w:rsidRDefault="00406A3D" w:rsidP="00406A3D">
            <w:pPr>
              <w:rPr>
                <w:rFonts w:ascii="Verdana" w:hAnsi="Verdana"/>
                <w:sz w:val="20"/>
                <w:szCs w:val="20"/>
              </w:rPr>
            </w:pPr>
            <w:r w:rsidRPr="001345BC">
              <w:rPr>
                <w:rFonts w:ascii="Verdana" w:hAnsi="Verdana"/>
                <w:sz w:val="20"/>
                <w:szCs w:val="20"/>
              </w:rPr>
              <w:t>Udeležba in sodelovanje na mednarodnih srečanjih s področja kakovosti v visokem šolstvu. Priprava letnega koledarja pomembnih dogodkov.</w:t>
            </w:r>
          </w:p>
        </w:tc>
      </w:tr>
      <w:tr w:rsidR="00406A3D" w:rsidRPr="001345BC" w14:paraId="1A000CFF" w14:textId="77777777" w:rsidTr="00E072DF">
        <w:trPr>
          <w:trHeight w:val="765"/>
        </w:trPr>
        <w:tc>
          <w:tcPr>
            <w:tcW w:w="4537" w:type="dxa"/>
            <w:hideMark/>
          </w:tcPr>
          <w:p w14:paraId="058BA520" w14:textId="77777777" w:rsidR="00406A3D" w:rsidRPr="001345BC" w:rsidRDefault="00406A3D" w:rsidP="00406A3D">
            <w:pPr>
              <w:rPr>
                <w:rFonts w:ascii="Verdana" w:hAnsi="Verdana"/>
                <w:sz w:val="20"/>
                <w:szCs w:val="20"/>
              </w:rPr>
            </w:pPr>
            <w:r w:rsidRPr="001345BC">
              <w:rPr>
                <w:rFonts w:ascii="Verdana" w:hAnsi="Verdana"/>
                <w:sz w:val="20"/>
                <w:szCs w:val="20"/>
              </w:rPr>
              <w:t>Sodelovanje v različnih evropskih ali mednarodnih projektih kot partnerji ali nosilci</w:t>
            </w:r>
          </w:p>
        </w:tc>
        <w:tc>
          <w:tcPr>
            <w:tcW w:w="5528" w:type="dxa"/>
            <w:hideMark/>
          </w:tcPr>
          <w:p w14:paraId="594A7F3C" w14:textId="77777777" w:rsidR="00406A3D" w:rsidRPr="001345BC" w:rsidRDefault="00406A3D" w:rsidP="00406A3D">
            <w:pPr>
              <w:rPr>
                <w:rFonts w:ascii="Verdana" w:hAnsi="Verdana"/>
                <w:sz w:val="20"/>
                <w:szCs w:val="20"/>
              </w:rPr>
            </w:pPr>
            <w:r w:rsidRPr="001345BC">
              <w:rPr>
                <w:rFonts w:ascii="Verdana" w:hAnsi="Verdana"/>
                <w:sz w:val="20"/>
                <w:szCs w:val="20"/>
              </w:rPr>
              <w:t xml:space="preserve">Projekti z delovnega področja agencije, npr.: akreditacije in evalvacije, uresničevanje evropskih standardov, zunanji in notranji sistemi kakovosti. </w:t>
            </w:r>
          </w:p>
        </w:tc>
      </w:tr>
      <w:tr w:rsidR="00406A3D" w:rsidRPr="001345BC" w14:paraId="73DB0510" w14:textId="77777777" w:rsidTr="00E072DF">
        <w:trPr>
          <w:trHeight w:val="255"/>
        </w:trPr>
        <w:tc>
          <w:tcPr>
            <w:tcW w:w="10065" w:type="dxa"/>
            <w:gridSpan w:val="2"/>
            <w:shd w:val="clear" w:color="auto" w:fill="E5B8B7" w:themeFill="accent2" w:themeFillTint="66"/>
            <w:hideMark/>
          </w:tcPr>
          <w:p w14:paraId="0EFF5135" w14:textId="77777777" w:rsidR="00406A3D" w:rsidRPr="001345BC" w:rsidRDefault="00406A3D" w:rsidP="00406A3D">
            <w:pPr>
              <w:rPr>
                <w:rFonts w:ascii="Verdana" w:hAnsi="Verdana"/>
                <w:b/>
                <w:bCs/>
                <w:sz w:val="20"/>
                <w:szCs w:val="20"/>
              </w:rPr>
            </w:pPr>
            <w:r w:rsidRPr="001345BC">
              <w:rPr>
                <w:rFonts w:ascii="Verdana" w:hAnsi="Verdana"/>
                <w:b/>
                <w:bCs/>
                <w:sz w:val="20"/>
                <w:szCs w:val="20"/>
              </w:rPr>
              <w:t xml:space="preserve">4. Organizacija in sodelovanje pri različnih dogodkih (konference, posveti, delavnice) </w:t>
            </w:r>
          </w:p>
        </w:tc>
      </w:tr>
      <w:tr w:rsidR="00DE6448" w:rsidRPr="001345BC" w14:paraId="57FE1741" w14:textId="77777777" w:rsidTr="00DE6448">
        <w:trPr>
          <w:trHeight w:val="255"/>
        </w:trPr>
        <w:tc>
          <w:tcPr>
            <w:tcW w:w="4537" w:type="dxa"/>
            <w:shd w:val="clear" w:color="auto" w:fill="auto"/>
          </w:tcPr>
          <w:p w14:paraId="53CFFB3F" w14:textId="067422AC" w:rsidR="00DE6448" w:rsidRPr="00F416A1" w:rsidRDefault="00DE6448" w:rsidP="00406A3D">
            <w:pPr>
              <w:rPr>
                <w:rFonts w:ascii="Verdana" w:hAnsi="Verdana"/>
                <w:bCs/>
                <w:sz w:val="20"/>
                <w:szCs w:val="20"/>
              </w:rPr>
            </w:pPr>
            <w:r w:rsidRPr="00F416A1">
              <w:rPr>
                <w:rFonts w:ascii="Verdana" w:hAnsi="Verdana"/>
                <w:bCs/>
                <w:sz w:val="20"/>
                <w:szCs w:val="20"/>
              </w:rPr>
              <w:t>Priprava letne publikacije agencije</w:t>
            </w:r>
          </w:p>
        </w:tc>
        <w:tc>
          <w:tcPr>
            <w:tcW w:w="5528" w:type="dxa"/>
            <w:shd w:val="clear" w:color="auto" w:fill="auto"/>
          </w:tcPr>
          <w:p w14:paraId="2D98BFAD" w14:textId="4D5AAF07" w:rsidR="00DE6448" w:rsidRPr="00F416A1" w:rsidRDefault="00DE6448" w:rsidP="00406A3D">
            <w:pPr>
              <w:rPr>
                <w:rFonts w:ascii="Verdana" w:hAnsi="Verdana"/>
                <w:bCs/>
                <w:sz w:val="20"/>
                <w:szCs w:val="20"/>
              </w:rPr>
            </w:pPr>
            <w:r w:rsidRPr="00F416A1">
              <w:rPr>
                <w:rFonts w:ascii="Verdana" w:hAnsi="Verdana"/>
                <w:bCs/>
                <w:sz w:val="20"/>
                <w:szCs w:val="20"/>
              </w:rPr>
              <w:t>Pregled letnega dela agencije in analiz</w:t>
            </w:r>
            <w:r w:rsidR="00484FBF">
              <w:rPr>
                <w:rFonts w:ascii="Verdana" w:hAnsi="Verdana"/>
                <w:bCs/>
                <w:sz w:val="20"/>
                <w:szCs w:val="20"/>
              </w:rPr>
              <w:t>.</w:t>
            </w:r>
          </w:p>
        </w:tc>
      </w:tr>
      <w:tr w:rsidR="00DE6448" w:rsidRPr="001345BC" w14:paraId="0F00DFC0" w14:textId="77777777" w:rsidTr="00DE6448">
        <w:trPr>
          <w:trHeight w:val="255"/>
        </w:trPr>
        <w:tc>
          <w:tcPr>
            <w:tcW w:w="4537" w:type="dxa"/>
            <w:shd w:val="clear" w:color="auto" w:fill="auto"/>
          </w:tcPr>
          <w:p w14:paraId="79B735AB" w14:textId="395B29F5" w:rsidR="00DE6448" w:rsidRPr="00F416A1" w:rsidRDefault="00DE6448" w:rsidP="00406A3D">
            <w:pPr>
              <w:rPr>
                <w:rFonts w:ascii="Verdana" w:hAnsi="Verdana"/>
                <w:bCs/>
                <w:sz w:val="20"/>
                <w:szCs w:val="20"/>
              </w:rPr>
            </w:pPr>
            <w:r w:rsidRPr="00F416A1">
              <w:rPr>
                <w:rFonts w:ascii="Verdana" w:hAnsi="Verdana"/>
                <w:bCs/>
                <w:sz w:val="20"/>
                <w:szCs w:val="20"/>
              </w:rPr>
              <w:t>Načrtovanje in priprava dogodkov</w:t>
            </w:r>
          </w:p>
        </w:tc>
        <w:tc>
          <w:tcPr>
            <w:tcW w:w="5528" w:type="dxa"/>
            <w:shd w:val="clear" w:color="auto" w:fill="auto"/>
          </w:tcPr>
          <w:p w14:paraId="0492CE4C" w14:textId="2C3E66EC" w:rsidR="00DE6448" w:rsidRPr="00F416A1" w:rsidRDefault="00DE6448" w:rsidP="00406A3D">
            <w:pPr>
              <w:rPr>
                <w:rFonts w:ascii="Verdana" w:hAnsi="Verdana"/>
                <w:bCs/>
                <w:sz w:val="20"/>
                <w:szCs w:val="20"/>
              </w:rPr>
            </w:pPr>
            <w:r w:rsidRPr="00F416A1">
              <w:rPr>
                <w:rFonts w:ascii="Verdana" w:hAnsi="Verdana"/>
                <w:bCs/>
                <w:sz w:val="20"/>
                <w:szCs w:val="20"/>
              </w:rPr>
              <w:t>Oblikovanje oziroma določanje vsebine dogodkov, sodelujočih predavateljev; vabil k sodelovanju ipd.</w:t>
            </w:r>
          </w:p>
        </w:tc>
      </w:tr>
      <w:tr w:rsidR="00406A3D" w:rsidRPr="001345BC" w14:paraId="1DF5A041" w14:textId="77777777" w:rsidTr="00E072DF">
        <w:trPr>
          <w:trHeight w:val="255"/>
        </w:trPr>
        <w:tc>
          <w:tcPr>
            <w:tcW w:w="10065" w:type="dxa"/>
            <w:gridSpan w:val="2"/>
            <w:shd w:val="clear" w:color="auto" w:fill="E5B8B7" w:themeFill="accent2" w:themeFillTint="66"/>
            <w:hideMark/>
          </w:tcPr>
          <w:p w14:paraId="345E3A76" w14:textId="77777777" w:rsidR="00406A3D" w:rsidRPr="001345BC" w:rsidRDefault="00406A3D" w:rsidP="00406A3D">
            <w:pPr>
              <w:rPr>
                <w:rFonts w:ascii="Verdana" w:hAnsi="Verdana"/>
                <w:b/>
                <w:bCs/>
                <w:sz w:val="20"/>
                <w:szCs w:val="20"/>
              </w:rPr>
            </w:pPr>
            <w:r w:rsidRPr="001345BC">
              <w:rPr>
                <w:rFonts w:ascii="Verdana" w:hAnsi="Verdana"/>
                <w:b/>
                <w:bCs/>
                <w:sz w:val="20"/>
                <w:szCs w:val="20"/>
              </w:rPr>
              <w:t xml:space="preserve">5. eNakvis in povezovanje s podatkovnimi bazami (SICRIS, IZUM…) </w:t>
            </w:r>
          </w:p>
        </w:tc>
      </w:tr>
      <w:tr w:rsidR="00406A3D" w:rsidRPr="001345BC" w14:paraId="4014D837" w14:textId="77777777" w:rsidTr="00E072DF">
        <w:trPr>
          <w:trHeight w:val="1490"/>
        </w:trPr>
        <w:tc>
          <w:tcPr>
            <w:tcW w:w="4537" w:type="dxa"/>
            <w:hideMark/>
          </w:tcPr>
          <w:p w14:paraId="731199DA" w14:textId="77777777" w:rsidR="00406A3D" w:rsidRPr="001345BC" w:rsidRDefault="00406A3D" w:rsidP="00406A3D">
            <w:pPr>
              <w:rPr>
                <w:rFonts w:ascii="Verdana" w:hAnsi="Verdana"/>
                <w:sz w:val="20"/>
                <w:szCs w:val="20"/>
              </w:rPr>
            </w:pPr>
            <w:r w:rsidRPr="001345BC">
              <w:rPr>
                <w:rFonts w:ascii="Verdana" w:hAnsi="Verdana"/>
                <w:sz w:val="20"/>
                <w:szCs w:val="20"/>
              </w:rPr>
              <w:t>Vzdrževanje in nadgradnja obstoječih funkcionalnosti eNakvis</w:t>
            </w:r>
          </w:p>
        </w:tc>
        <w:tc>
          <w:tcPr>
            <w:tcW w:w="5528" w:type="dxa"/>
            <w:hideMark/>
          </w:tcPr>
          <w:p w14:paraId="054841E6" w14:textId="77777777" w:rsidR="00406A3D" w:rsidRPr="001345BC" w:rsidRDefault="00406A3D" w:rsidP="00406A3D">
            <w:pPr>
              <w:rPr>
                <w:rFonts w:ascii="Verdana" w:hAnsi="Verdana"/>
                <w:sz w:val="20"/>
                <w:szCs w:val="20"/>
              </w:rPr>
            </w:pPr>
            <w:r w:rsidRPr="001345BC">
              <w:rPr>
                <w:rFonts w:ascii="Verdana" w:hAnsi="Verdana"/>
                <w:sz w:val="20"/>
                <w:szCs w:val="20"/>
              </w:rPr>
              <w:t xml:space="preserve">Vzpostavitev modula za analizo in obdelavo podatkov; vzpostavitev modula za izvedbo </w:t>
            </w:r>
            <w:proofErr w:type="spellStart"/>
            <w:r w:rsidRPr="001345BC">
              <w:rPr>
                <w:rFonts w:ascii="Verdana" w:hAnsi="Verdana"/>
                <w:sz w:val="20"/>
                <w:szCs w:val="20"/>
              </w:rPr>
              <w:t>samoevalvacijskih</w:t>
            </w:r>
            <w:proofErr w:type="spellEnd"/>
            <w:r w:rsidRPr="001345BC">
              <w:rPr>
                <w:rFonts w:ascii="Verdana" w:hAnsi="Verdana"/>
                <w:sz w:val="20"/>
                <w:szCs w:val="20"/>
              </w:rPr>
              <w:t xml:space="preserve"> </w:t>
            </w:r>
            <w:proofErr w:type="spellStart"/>
            <w:r w:rsidRPr="001345BC">
              <w:rPr>
                <w:rFonts w:ascii="Verdana" w:hAnsi="Verdana"/>
                <w:sz w:val="20"/>
                <w:szCs w:val="20"/>
              </w:rPr>
              <w:t>postpokov</w:t>
            </w:r>
            <w:proofErr w:type="spellEnd"/>
            <w:r w:rsidRPr="001345BC">
              <w:rPr>
                <w:rFonts w:ascii="Verdana" w:hAnsi="Verdana"/>
                <w:sz w:val="20"/>
                <w:szCs w:val="20"/>
              </w:rPr>
              <w:t>; konsolidacija skupnih podatkov med različnimi informacijskimi sistemi in bazami; integracija sistema na zunanje storitve SICRIS, COBISS, eVŠ in DEQA.</w:t>
            </w:r>
          </w:p>
        </w:tc>
      </w:tr>
      <w:tr w:rsidR="00406A3D" w:rsidRPr="001345BC" w14:paraId="59D70FA1" w14:textId="77777777" w:rsidTr="00484FBF">
        <w:trPr>
          <w:trHeight w:val="547"/>
        </w:trPr>
        <w:tc>
          <w:tcPr>
            <w:tcW w:w="4537" w:type="dxa"/>
            <w:hideMark/>
          </w:tcPr>
          <w:p w14:paraId="7AB790A4" w14:textId="77777777" w:rsidR="00406A3D" w:rsidRPr="001345BC" w:rsidRDefault="00406A3D" w:rsidP="00406A3D">
            <w:pPr>
              <w:rPr>
                <w:rFonts w:ascii="Verdana" w:hAnsi="Verdana"/>
                <w:sz w:val="20"/>
                <w:szCs w:val="20"/>
              </w:rPr>
            </w:pPr>
            <w:r w:rsidRPr="001345BC">
              <w:rPr>
                <w:rFonts w:ascii="Verdana" w:hAnsi="Verdana"/>
                <w:sz w:val="20"/>
                <w:szCs w:val="20"/>
              </w:rPr>
              <w:lastRenderedPageBreak/>
              <w:t>Implementacija in vzdrževanje novih funkcionalnosti eNakvis</w:t>
            </w:r>
          </w:p>
        </w:tc>
        <w:tc>
          <w:tcPr>
            <w:tcW w:w="5528" w:type="dxa"/>
            <w:hideMark/>
          </w:tcPr>
          <w:p w14:paraId="74B265D2" w14:textId="77777777" w:rsidR="00376B80" w:rsidRDefault="00406A3D" w:rsidP="00406A3D">
            <w:pPr>
              <w:rPr>
                <w:rFonts w:ascii="Verdana" w:hAnsi="Verdana"/>
                <w:sz w:val="20"/>
                <w:szCs w:val="20"/>
              </w:rPr>
            </w:pPr>
            <w:r w:rsidRPr="001345BC">
              <w:rPr>
                <w:rFonts w:ascii="Verdana" w:hAnsi="Verdana"/>
                <w:sz w:val="20"/>
                <w:szCs w:val="20"/>
              </w:rPr>
              <w:t xml:space="preserve">V nadaljnjem razvoju je treba v sistemu omogočiti: - lažje in preglednejše delo strokovnjakov in članov sveta agencije (priprava na obisk zavoda/šole, pisanje poročil, dajanje in oddajanje pripomb, pregledovanje gradiva...); </w:t>
            </w:r>
          </w:p>
          <w:p w14:paraId="412A3602" w14:textId="03632C76" w:rsidR="00376B80" w:rsidRDefault="00406A3D" w:rsidP="00406A3D">
            <w:pPr>
              <w:rPr>
                <w:rFonts w:ascii="Verdana" w:hAnsi="Verdana"/>
                <w:sz w:val="20"/>
                <w:szCs w:val="20"/>
              </w:rPr>
            </w:pPr>
            <w:r w:rsidRPr="001345BC">
              <w:rPr>
                <w:rFonts w:ascii="Verdana" w:hAnsi="Verdana"/>
                <w:sz w:val="20"/>
                <w:szCs w:val="20"/>
              </w:rPr>
              <w:t>- priprav</w:t>
            </w:r>
            <w:r w:rsidR="00CC73BC">
              <w:rPr>
                <w:rFonts w:ascii="Verdana" w:hAnsi="Verdana"/>
                <w:sz w:val="20"/>
                <w:szCs w:val="20"/>
              </w:rPr>
              <w:t>o</w:t>
            </w:r>
            <w:r w:rsidRPr="001345BC">
              <w:rPr>
                <w:rFonts w:ascii="Verdana" w:hAnsi="Verdana"/>
                <w:sz w:val="20"/>
                <w:szCs w:val="20"/>
              </w:rPr>
              <w:t xml:space="preserve"> in razvoj sistema samoevalvacije v eNakvis - integracij</w:t>
            </w:r>
            <w:r w:rsidR="00CC73BC">
              <w:rPr>
                <w:rFonts w:ascii="Verdana" w:hAnsi="Verdana"/>
                <w:sz w:val="20"/>
                <w:szCs w:val="20"/>
              </w:rPr>
              <w:t>o</w:t>
            </w:r>
            <w:r w:rsidRPr="001345BC">
              <w:rPr>
                <w:rFonts w:ascii="Verdana" w:hAnsi="Verdana"/>
                <w:sz w:val="20"/>
                <w:szCs w:val="20"/>
              </w:rPr>
              <w:t xml:space="preserve"> vprašalnikov za samoevalvacijo, </w:t>
            </w:r>
          </w:p>
          <w:p w14:paraId="7EA15697" w14:textId="71DCCB31" w:rsidR="00376B80" w:rsidRDefault="00406A3D" w:rsidP="00406A3D">
            <w:pPr>
              <w:rPr>
                <w:rFonts w:ascii="Verdana" w:hAnsi="Verdana"/>
                <w:sz w:val="20"/>
                <w:szCs w:val="20"/>
              </w:rPr>
            </w:pPr>
            <w:r w:rsidRPr="001345BC">
              <w:rPr>
                <w:rFonts w:ascii="Verdana" w:hAnsi="Verdana"/>
                <w:sz w:val="20"/>
                <w:szCs w:val="20"/>
              </w:rPr>
              <w:t xml:space="preserve">- različne analize, </w:t>
            </w:r>
          </w:p>
          <w:p w14:paraId="75F3D1DD" w14:textId="77777777" w:rsidR="00CC73BC" w:rsidRDefault="00406A3D" w:rsidP="00406A3D">
            <w:pPr>
              <w:rPr>
                <w:rFonts w:ascii="Verdana" w:hAnsi="Verdana"/>
                <w:sz w:val="20"/>
                <w:szCs w:val="20"/>
              </w:rPr>
            </w:pPr>
            <w:r w:rsidRPr="001345BC">
              <w:rPr>
                <w:rFonts w:ascii="Verdana" w:hAnsi="Verdana"/>
                <w:sz w:val="20"/>
                <w:szCs w:val="20"/>
              </w:rPr>
              <w:t xml:space="preserve">- lažjo pomoč in svetovanje uporabnikom, </w:t>
            </w:r>
          </w:p>
          <w:p w14:paraId="6F34DB89" w14:textId="5F025850" w:rsidR="00406A3D" w:rsidRPr="001345BC" w:rsidRDefault="00CC73BC" w:rsidP="00406A3D">
            <w:pPr>
              <w:rPr>
                <w:rFonts w:ascii="Verdana" w:hAnsi="Verdana"/>
                <w:sz w:val="20"/>
                <w:szCs w:val="20"/>
              </w:rPr>
            </w:pPr>
            <w:r>
              <w:rPr>
                <w:rFonts w:ascii="Verdana" w:hAnsi="Verdana"/>
                <w:sz w:val="20"/>
                <w:szCs w:val="20"/>
              </w:rPr>
              <w:t xml:space="preserve">- </w:t>
            </w:r>
            <w:r w:rsidR="00406A3D" w:rsidRPr="001345BC">
              <w:rPr>
                <w:rFonts w:ascii="Verdana" w:hAnsi="Verdana"/>
                <w:sz w:val="20"/>
                <w:szCs w:val="20"/>
              </w:rPr>
              <w:t>skrbništvo pogodb in skrb nad izvajanjem pogodb.</w:t>
            </w:r>
          </w:p>
        </w:tc>
      </w:tr>
      <w:tr w:rsidR="00406A3D" w:rsidRPr="001345BC" w14:paraId="7580C1F6" w14:textId="77777777" w:rsidTr="00E072DF">
        <w:trPr>
          <w:trHeight w:val="255"/>
        </w:trPr>
        <w:tc>
          <w:tcPr>
            <w:tcW w:w="10065" w:type="dxa"/>
            <w:gridSpan w:val="2"/>
            <w:shd w:val="clear" w:color="auto" w:fill="E5B8B7" w:themeFill="accent2" w:themeFillTint="66"/>
            <w:hideMark/>
          </w:tcPr>
          <w:p w14:paraId="2A7F6CE1" w14:textId="77777777" w:rsidR="00406A3D" w:rsidRPr="001345BC" w:rsidRDefault="00406A3D" w:rsidP="00406A3D">
            <w:pPr>
              <w:rPr>
                <w:rFonts w:ascii="Verdana" w:hAnsi="Verdana"/>
                <w:b/>
                <w:bCs/>
                <w:sz w:val="20"/>
                <w:szCs w:val="20"/>
              </w:rPr>
            </w:pPr>
            <w:r>
              <w:rPr>
                <w:rFonts w:ascii="Verdana" w:hAnsi="Verdana"/>
                <w:b/>
                <w:bCs/>
                <w:sz w:val="20"/>
                <w:szCs w:val="20"/>
              </w:rPr>
              <w:t xml:space="preserve">6. </w:t>
            </w:r>
            <w:r w:rsidRPr="001345BC">
              <w:rPr>
                <w:rFonts w:ascii="Verdana" w:hAnsi="Verdana"/>
                <w:b/>
                <w:bCs/>
                <w:sz w:val="20"/>
                <w:szCs w:val="20"/>
              </w:rPr>
              <w:t>Komuniciranje</w:t>
            </w:r>
          </w:p>
        </w:tc>
      </w:tr>
      <w:tr w:rsidR="00406A3D" w:rsidRPr="001345BC" w14:paraId="24172FEF" w14:textId="77777777" w:rsidTr="00E072DF">
        <w:trPr>
          <w:trHeight w:val="765"/>
        </w:trPr>
        <w:tc>
          <w:tcPr>
            <w:tcW w:w="4537" w:type="dxa"/>
            <w:hideMark/>
          </w:tcPr>
          <w:p w14:paraId="679DEC7B" w14:textId="77777777" w:rsidR="00406A3D" w:rsidRPr="001345BC" w:rsidRDefault="00406A3D" w:rsidP="00406A3D">
            <w:pPr>
              <w:rPr>
                <w:rFonts w:ascii="Verdana" w:hAnsi="Verdana"/>
                <w:sz w:val="20"/>
                <w:szCs w:val="20"/>
              </w:rPr>
            </w:pPr>
            <w:r w:rsidRPr="001345BC">
              <w:rPr>
                <w:rFonts w:ascii="Verdana" w:hAnsi="Verdana"/>
                <w:sz w:val="20"/>
                <w:szCs w:val="20"/>
              </w:rPr>
              <w:t>Dnevno spremljanje objav</w:t>
            </w:r>
          </w:p>
        </w:tc>
        <w:tc>
          <w:tcPr>
            <w:tcW w:w="5528" w:type="dxa"/>
            <w:hideMark/>
          </w:tcPr>
          <w:p w14:paraId="30861D1A" w14:textId="2E704BF7" w:rsidR="00406A3D" w:rsidRPr="001345BC" w:rsidRDefault="00406A3D" w:rsidP="00406A3D">
            <w:pPr>
              <w:rPr>
                <w:rFonts w:ascii="Verdana" w:hAnsi="Verdana"/>
                <w:sz w:val="20"/>
                <w:szCs w:val="20"/>
              </w:rPr>
            </w:pPr>
            <w:r w:rsidRPr="001345BC">
              <w:rPr>
                <w:rFonts w:ascii="Verdana" w:hAnsi="Verdana"/>
                <w:sz w:val="20"/>
                <w:szCs w:val="20"/>
              </w:rPr>
              <w:t xml:space="preserve">Spremljanje </w:t>
            </w:r>
            <w:proofErr w:type="spellStart"/>
            <w:r w:rsidRPr="001345BC">
              <w:rPr>
                <w:rFonts w:ascii="Verdana" w:hAnsi="Verdana"/>
                <w:sz w:val="20"/>
                <w:szCs w:val="20"/>
              </w:rPr>
              <w:t>klipinga</w:t>
            </w:r>
            <w:proofErr w:type="spellEnd"/>
            <w:r w:rsidRPr="001345BC">
              <w:rPr>
                <w:rFonts w:ascii="Verdana" w:hAnsi="Verdana"/>
                <w:sz w:val="20"/>
                <w:szCs w:val="20"/>
              </w:rPr>
              <w:t>, odzivov deležnikov, javnomnenjskih anket, zadovoljstva z delovanjem agencije</w:t>
            </w:r>
            <w:r w:rsidR="00CC73BC">
              <w:rPr>
                <w:rFonts w:ascii="Verdana" w:hAnsi="Verdana"/>
                <w:sz w:val="20"/>
                <w:szCs w:val="20"/>
              </w:rPr>
              <w:t>.</w:t>
            </w:r>
          </w:p>
        </w:tc>
      </w:tr>
      <w:tr w:rsidR="00406A3D" w:rsidRPr="001345BC" w14:paraId="0B63DB21" w14:textId="77777777" w:rsidTr="00E072DF">
        <w:trPr>
          <w:trHeight w:val="510"/>
        </w:trPr>
        <w:tc>
          <w:tcPr>
            <w:tcW w:w="4537" w:type="dxa"/>
            <w:hideMark/>
          </w:tcPr>
          <w:p w14:paraId="2896B439" w14:textId="77777777" w:rsidR="00406A3D" w:rsidRPr="001345BC" w:rsidRDefault="00406A3D" w:rsidP="00406A3D">
            <w:pPr>
              <w:rPr>
                <w:rFonts w:ascii="Verdana" w:hAnsi="Verdana"/>
                <w:sz w:val="20"/>
                <w:szCs w:val="20"/>
              </w:rPr>
            </w:pPr>
            <w:r w:rsidRPr="001345BC">
              <w:rPr>
                <w:rFonts w:ascii="Verdana" w:hAnsi="Verdana"/>
                <w:sz w:val="20"/>
                <w:szCs w:val="20"/>
              </w:rPr>
              <w:t>Komuniciranje z mediji in deležniki</w:t>
            </w:r>
          </w:p>
        </w:tc>
        <w:tc>
          <w:tcPr>
            <w:tcW w:w="5528" w:type="dxa"/>
            <w:hideMark/>
          </w:tcPr>
          <w:p w14:paraId="388CC4BA" w14:textId="77777777" w:rsidR="00406A3D" w:rsidRPr="001345BC" w:rsidRDefault="00406A3D" w:rsidP="00406A3D">
            <w:pPr>
              <w:rPr>
                <w:rFonts w:ascii="Verdana" w:hAnsi="Verdana"/>
                <w:sz w:val="20"/>
                <w:szCs w:val="20"/>
              </w:rPr>
            </w:pPr>
            <w:r w:rsidRPr="001345BC">
              <w:rPr>
                <w:rFonts w:ascii="Verdana" w:hAnsi="Verdana"/>
                <w:sz w:val="20"/>
                <w:szCs w:val="20"/>
              </w:rPr>
              <w:t xml:space="preserve">Priprava in objava obvestil za javnost, </w:t>
            </w:r>
            <w:r w:rsidRPr="001345BC">
              <w:rPr>
                <w:rFonts w:ascii="Verdana" w:hAnsi="Verdana"/>
                <w:sz w:val="20"/>
                <w:szCs w:val="20"/>
              </w:rPr>
              <w:br/>
            </w:r>
            <w:proofErr w:type="spellStart"/>
            <w:r w:rsidRPr="001345BC">
              <w:rPr>
                <w:rFonts w:ascii="Verdana" w:hAnsi="Verdana"/>
                <w:sz w:val="20"/>
                <w:szCs w:val="20"/>
              </w:rPr>
              <w:t>novičnikov</w:t>
            </w:r>
            <w:proofErr w:type="spellEnd"/>
            <w:r w:rsidRPr="001345BC">
              <w:rPr>
                <w:rFonts w:ascii="Verdana" w:hAnsi="Verdana"/>
                <w:sz w:val="20"/>
                <w:szCs w:val="20"/>
              </w:rPr>
              <w:t xml:space="preserve">, </w:t>
            </w:r>
            <w:proofErr w:type="spellStart"/>
            <w:r w:rsidRPr="001345BC">
              <w:rPr>
                <w:rFonts w:ascii="Verdana" w:hAnsi="Verdana"/>
                <w:sz w:val="20"/>
                <w:szCs w:val="20"/>
              </w:rPr>
              <w:t>newsletterjev</w:t>
            </w:r>
            <w:proofErr w:type="spellEnd"/>
            <w:r w:rsidRPr="001345BC">
              <w:rPr>
                <w:rFonts w:ascii="Verdana" w:hAnsi="Verdana"/>
                <w:sz w:val="20"/>
                <w:szCs w:val="20"/>
              </w:rPr>
              <w:t xml:space="preserve"> itd.</w:t>
            </w:r>
          </w:p>
        </w:tc>
      </w:tr>
      <w:tr w:rsidR="00406A3D" w:rsidRPr="001345BC" w14:paraId="1569752E" w14:textId="77777777" w:rsidTr="00E072DF">
        <w:trPr>
          <w:trHeight w:val="510"/>
        </w:trPr>
        <w:tc>
          <w:tcPr>
            <w:tcW w:w="4537" w:type="dxa"/>
            <w:hideMark/>
          </w:tcPr>
          <w:p w14:paraId="10DA4660" w14:textId="77777777" w:rsidR="00406A3D" w:rsidRPr="001345BC" w:rsidRDefault="00406A3D" w:rsidP="00406A3D">
            <w:pPr>
              <w:rPr>
                <w:rFonts w:ascii="Verdana" w:hAnsi="Verdana"/>
                <w:sz w:val="20"/>
                <w:szCs w:val="20"/>
              </w:rPr>
            </w:pPr>
            <w:r w:rsidRPr="001345BC">
              <w:rPr>
                <w:rFonts w:ascii="Verdana" w:hAnsi="Verdana"/>
                <w:sz w:val="20"/>
                <w:szCs w:val="20"/>
              </w:rPr>
              <w:t>Skrb za socialna omrežja</w:t>
            </w:r>
          </w:p>
        </w:tc>
        <w:tc>
          <w:tcPr>
            <w:tcW w:w="5528" w:type="dxa"/>
            <w:hideMark/>
          </w:tcPr>
          <w:p w14:paraId="20CA8BFF" w14:textId="77777777" w:rsidR="00406A3D" w:rsidRPr="001345BC" w:rsidRDefault="00406A3D" w:rsidP="00406A3D">
            <w:pPr>
              <w:rPr>
                <w:rFonts w:ascii="Verdana" w:hAnsi="Verdana"/>
                <w:sz w:val="20"/>
                <w:szCs w:val="20"/>
              </w:rPr>
            </w:pPr>
            <w:proofErr w:type="spellStart"/>
            <w:r w:rsidRPr="001345BC">
              <w:rPr>
                <w:rFonts w:ascii="Verdana" w:hAnsi="Verdana"/>
                <w:sz w:val="20"/>
                <w:szCs w:val="20"/>
              </w:rPr>
              <w:t>Twitter</w:t>
            </w:r>
            <w:proofErr w:type="spellEnd"/>
            <w:r w:rsidRPr="001345BC">
              <w:rPr>
                <w:rFonts w:ascii="Verdana" w:hAnsi="Verdana"/>
                <w:sz w:val="20"/>
                <w:szCs w:val="20"/>
              </w:rPr>
              <w:t xml:space="preserve">, objava </w:t>
            </w:r>
            <w:proofErr w:type="spellStart"/>
            <w:r w:rsidRPr="001345BC">
              <w:rPr>
                <w:rFonts w:ascii="Verdana" w:hAnsi="Verdana"/>
                <w:sz w:val="20"/>
                <w:szCs w:val="20"/>
              </w:rPr>
              <w:t>novičnikov</w:t>
            </w:r>
            <w:proofErr w:type="spellEnd"/>
            <w:r w:rsidRPr="001345BC">
              <w:rPr>
                <w:rFonts w:ascii="Verdana" w:hAnsi="Verdana"/>
                <w:sz w:val="20"/>
                <w:szCs w:val="20"/>
              </w:rPr>
              <w:t xml:space="preserve">, </w:t>
            </w:r>
            <w:proofErr w:type="spellStart"/>
            <w:r w:rsidRPr="001345BC">
              <w:rPr>
                <w:rFonts w:ascii="Verdana" w:hAnsi="Verdana"/>
                <w:sz w:val="20"/>
                <w:szCs w:val="20"/>
              </w:rPr>
              <w:t>newsletterjev</w:t>
            </w:r>
            <w:proofErr w:type="spellEnd"/>
            <w:r w:rsidRPr="001345BC">
              <w:rPr>
                <w:rFonts w:ascii="Verdana" w:hAnsi="Verdana"/>
                <w:sz w:val="20"/>
                <w:szCs w:val="20"/>
              </w:rPr>
              <w:t>, izjav za javnost itd.</w:t>
            </w:r>
          </w:p>
        </w:tc>
      </w:tr>
      <w:tr w:rsidR="00406A3D" w:rsidRPr="001345BC" w14:paraId="2D4061D0" w14:textId="77777777" w:rsidTr="00E072DF">
        <w:trPr>
          <w:trHeight w:val="1275"/>
        </w:trPr>
        <w:tc>
          <w:tcPr>
            <w:tcW w:w="4537" w:type="dxa"/>
            <w:hideMark/>
          </w:tcPr>
          <w:p w14:paraId="09C11A64" w14:textId="77777777" w:rsidR="00406A3D" w:rsidRPr="001345BC" w:rsidRDefault="00406A3D" w:rsidP="00406A3D">
            <w:pPr>
              <w:rPr>
                <w:rFonts w:ascii="Verdana" w:hAnsi="Verdana"/>
                <w:sz w:val="20"/>
                <w:szCs w:val="20"/>
              </w:rPr>
            </w:pPr>
            <w:r w:rsidRPr="001345BC">
              <w:rPr>
                <w:rFonts w:ascii="Verdana" w:hAnsi="Verdana"/>
                <w:sz w:val="20"/>
                <w:szCs w:val="20"/>
              </w:rPr>
              <w:t>Spletna stran agencije</w:t>
            </w:r>
          </w:p>
        </w:tc>
        <w:tc>
          <w:tcPr>
            <w:tcW w:w="5528" w:type="dxa"/>
            <w:hideMark/>
          </w:tcPr>
          <w:p w14:paraId="501E160A" w14:textId="77777777" w:rsidR="00406A3D" w:rsidRPr="001345BC" w:rsidRDefault="00406A3D" w:rsidP="00406A3D">
            <w:pPr>
              <w:rPr>
                <w:rFonts w:ascii="Verdana" w:hAnsi="Verdana"/>
                <w:sz w:val="20"/>
                <w:szCs w:val="20"/>
              </w:rPr>
            </w:pPr>
            <w:r w:rsidRPr="001345BC">
              <w:rPr>
                <w:rFonts w:ascii="Verdana" w:hAnsi="Verdana"/>
                <w:sz w:val="20"/>
                <w:szCs w:val="20"/>
              </w:rPr>
              <w:t xml:space="preserve">Urejanje spletnih strani, dodajanje in objavljanje vsebine, prevajanje tekstov za angleško spletno stran agencije, prilagoditev za izboljšano dostopnost, sprememba dizajna spletne strani, ažurnost in točnost informacij in vsebin…  </w:t>
            </w:r>
          </w:p>
        </w:tc>
      </w:tr>
      <w:tr w:rsidR="00C11985" w:rsidRPr="00431780" w14:paraId="440DB38A" w14:textId="77777777" w:rsidTr="00E072DF">
        <w:trPr>
          <w:trHeight w:val="300"/>
        </w:trPr>
        <w:tc>
          <w:tcPr>
            <w:tcW w:w="10065" w:type="dxa"/>
            <w:gridSpan w:val="2"/>
            <w:shd w:val="clear" w:color="auto" w:fill="B8CCE4" w:themeFill="accent1" w:themeFillTint="66"/>
            <w:noWrap/>
            <w:hideMark/>
          </w:tcPr>
          <w:p w14:paraId="1F876132" w14:textId="77777777" w:rsidR="00C11985" w:rsidRPr="00E072DF" w:rsidRDefault="00C11985" w:rsidP="00580769">
            <w:pPr>
              <w:rPr>
                <w:rFonts w:ascii="Verdana" w:eastAsia="Times New Roman" w:hAnsi="Verdana" w:cs="Times New Roman"/>
                <w:b/>
                <w:bCs/>
                <w:color w:val="000000"/>
                <w:sz w:val="20"/>
                <w:szCs w:val="20"/>
                <w:lang w:eastAsia="sl-SI"/>
              </w:rPr>
            </w:pPr>
          </w:p>
          <w:p w14:paraId="27A8802D" w14:textId="77777777" w:rsidR="00C11985" w:rsidRPr="00E072DF" w:rsidRDefault="00C11985" w:rsidP="00580769">
            <w:pPr>
              <w:ind w:left="360"/>
              <w:jc w:val="center"/>
              <w:rPr>
                <w:rFonts w:ascii="Verdana" w:eastAsia="Times New Roman" w:hAnsi="Verdana"/>
                <w:b/>
                <w:bCs/>
                <w:color w:val="000000"/>
                <w:sz w:val="20"/>
                <w:szCs w:val="20"/>
                <w:lang w:eastAsia="sl-SI"/>
              </w:rPr>
            </w:pPr>
            <w:r w:rsidRPr="00E072DF">
              <w:rPr>
                <w:rFonts w:ascii="Verdana" w:eastAsia="Times New Roman" w:hAnsi="Verdana"/>
                <w:b/>
                <w:bCs/>
                <w:color w:val="000000"/>
                <w:sz w:val="20"/>
                <w:szCs w:val="20"/>
                <w:lang w:eastAsia="sl-SI"/>
              </w:rPr>
              <w:t>SEKTOR ZA SPLOŠNE ZADEVE</w:t>
            </w:r>
          </w:p>
          <w:p w14:paraId="0649FCFE" w14:textId="77777777" w:rsidR="00C11985" w:rsidRPr="00E072DF" w:rsidRDefault="00C11985" w:rsidP="00580769">
            <w:pPr>
              <w:jc w:val="center"/>
              <w:rPr>
                <w:rFonts w:ascii="Verdana" w:eastAsia="Times New Roman" w:hAnsi="Verdana"/>
                <w:b/>
                <w:bCs/>
                <w:color w:val="000000"/>
                <w:sz w:val="20"/>
                <w:szCs w:val="20"/>
                <w:lang w:eastAsia="sl-SI"/>
              </w:rPr>
            </w:pPr>
          </w:p>
          <w:p w14:paraId="5F7B4A0E" w14:textId="77777777" w:rsidR="00C11985" w:rsidRPr="00E072DF" w:rsidRDefault="00C11985" w:rsidP="00580769">
            <w:pPr>
              <w:rPr>
                <w:rFonts w:ascii="Verdana" w:eastAsia="Times New Roman" w:hAnsi="Verdana"/>
                <w:b/>
                <w:bCs/>
                <w:color w:val="000000"/>
                <w:sz w:val="20"/>
                <w:szCs w:val="20"/>
                <w:lang w:eastAsia="sl-SI"/>
              </w:rPr>
            </w:pPr>
            <w:r w:rsidRPr="00E072DF">
              <w:rPr>
                <w:rFonts w:ascii="Verdana" w:eastAsia="Times New Roman" w:hAnsi="Verdana"/>
                <w:b/>
                <w:bCs/>
                <w:color w:val="000000"/>
                <w:sz w:val="20"/>
                <w:szCs w:val="20"/>
                <w:lang w:eastAsia="sl-SI"/>
              </w:rPr>
              <w:t>Temeljna delovna področja sektorja:</w:t>
            </w:r>
          </w:p>
          <w:p w14:paraId="17D4D441" w14:textId="77777777" w:rsidR="00C11985" w:rsidRPr="00E072DF" w:rsidRDefault="00C11985" w:rsidP="00580769">
            <w:pPr>
              <w:pStyle w:val="Odstavekseznama"/>
              <w:numPr>
                <w:ilvl w:val="0"/>
                <w:numId w:val="5"/>
              </w:numPr>
              <w:ind w:left="720"/>
              <w:jc w:val="both"/>
              <w:rPr>
                <w:rFonts w:ascii="Verdana" w:eastAsia="Times New Roman" w:hAnsi="Verdana"/>
                <w:b/>
                <w:sz w:val="20"/>
                <w:szCs w:val="20"/>
              </w:rPr>
            </w:pPr>
            <w:r w:rsidRPr="00E072DF">
              <w:rPr>
                <w:rFonts w:ascii="Verdana" w:eastAsia="Times New Roman" w:hAnsi="Verdana"/>
                <w:b/>
                <w:sz w:val="20"/>
                <w:szCs w:val="20"/>
              </w:rPr>
              <w:t>zakonodaja, priprava notranjih pravnih aktov agencije;</w:t>
            </w:r>
          </w:p>
          <w:p w14:paraId="5ADF7AEF" w14:textId="77777777" w:rsidR="00C11985" w:rsidRPr="00E072DF" w:rsidRDefault="00C11985" w:rsidP="00580769">
            <w:pPr>
              <w:pStyle w:val="Odstavekseznama"/>
              <w:numPr>
                <w:ilvl w:val="0"/>
                <w:numId w:val="5"/>
              </w:numPr>
              <w:ind w:left="720"/>
              <w:jc w:val="both"/>
              <w:rPr>
                <w:rFonts w:ascii="Verdana" w:eastAsia="Times New Roman" w:hAnsi="Verdana"/>
                <w:b/>
                <w:sz w:val="20"/>
                <w:szCs w:val="20"/>
              </w:rPr>
            </w:pPr>
            <w:r w:rsidRPr="00E072DF">
              <w:rPr>
                <w:rFonts w:ascii="Verdana" w:eastAsia="Times New Roman" w:hAnsi="Verdana"/>
                <w:b/>
                <w:sz w:val="20"/>
                <w:szCs w:val="20"/>
              </w:rPr>
              <w:t xml:space="preserve">pomoč pri izvajanju dejavnosti s področja zagotavljanja kakovosti; </w:t>
            </w:r>
          </w:p>
          <w:p w14:paraId="4A7BFAF1" w14:textId="77777777" w:rsidR="00C11985" w:rsidRPr="00E072DF" w:rsidRDefault="00C11985" w:rsidP="00580769">
            <w:pPr>
              <w:pStyle w:val="Odstavekseznama"/>
              <w:numPr>
                <w:ilvl w:val="0"/>
                <w:numId w:val="5"/>
              </w:numPr>
              <w:ind w:left="720"/>
              <w:jc w:val="both"/>
              <w:rPr>
                <w:rFonts w:ascii="Verdana" w:eastAsia="Times New Roman" w:hAnsi="Verdana"/>
                <w:b/>
                <w:sz w:val="20"/>
                <w:szCs w:val="20"/>
              </w:rPr>
            </w:pPr>
            <w:r w:rsidRPr="00E072DF">
              <w:rPr>
                <w:rFonts w:ascii="Verdana" w:eastAsia="Times New Roman" w:hAnsi="Verdana"/>
                <w:b/>
                <w:sz w:val="20"/>
                <w:szCs w:val="20"/>
              </w:rPr>
              <w:t>delo za pritožbeno komisijo;</w:t>
            </w:r>
          </w:p>
          <w:p w14:paraId="1156BA68" w14:textId="77777777" w:rsidR="00C11985" w:rsidRPr="00E072DF" w:rsidRDefault="00C11985" w:rsidP="00580769">
            <w:pPr>
              <w:pStyle w:val="Odstavekseznama"/>
              <w:numPr>
                <w:ilvl w:val="0"/>
                <w:numId w:val="5"/>
              </w:numPr>
              <w:ind w:left="720"/>
              <w:jc w:val="both"/>
              <w:rPr>
                <w:rFonts w:ascii="Verdana" w:eastAsia="Times New Roman" w:hAnsi="Verdana"/>
                <w:b/>
                <w:sz w:val="20"/>
                <w:szCs w:val="20"/>
              </w:rPr>
            </w:pPr>
            <w:r w:rsidRPr="00E072DF">
              <w:rPr>
                <w:rFonts w:ascii="Verdana" w:eastAsia="Times New Roman" w:hAnsi="Verdana"/>
                <w:b/>
                <w:sz w:val="20"/>
                <w:szCs w:val="20"/>
              </w:rPr>
              <w:t>finančne in kadrovske zadeve;</w:t>
            </w:r>
          </w:p>
          <w:p w14:paraId="4739ECDD" w14:textId="77777777" w:rsidR="00C11985" w:rsidRPr="00E072DF" w:rsidRDefault="00C11985" w:rsidP="00580769">
            <w:pPr>
              <w:pStyle w:val="Odstavekseznama"/>
              <w:numPr>
                <w:ilvl w:val="0"/>
                <w:numId w:val="5"/>
              </w:numPr>
              <w:ind w:left="720"/>
              <w:jc w:val="both"/>
              <w:rPr>
                <w:rFonts w:ascii="Verdana" w:eastAsia="Times New Roman" w:hAnsi="Verdana"/>
                <w:b/>
                <w:sz w:val="20"/>
                <w:szCs w:val="20"/>
              </w:rPr>
            </w:pPr>
            <w:r w:rsidRPr="00E072DF">
              <w:rPr>
                <w:rFonts w:ascii="Verdana" w:eastAsia="Times New Roman" w:hAnsi="Verdana"/>
                <w:b/>
                <w:sz w:val="20"/>
                <w:szCs w:val="20"/>
              </w:rPr>
              <w:t>dostop do informacij javnega značaja;</w:t>
            </w:r>
          </w:p>
          <w:p w14:paraId="1440C643" w14:textId="77777777" w:rsidR="00C11985" w:rsidRPr="00E072DF" w:rsidRDefault="00C11985" w:rsidP="00580769">
            <w:pPr>
              <w:pStyle w:val="Odstavekseznama"/>
              <w:numPr>
                <w:ilvl w:val="0"/>
                <w:numId w:val="5"/>
              </w:numPr>
              <w:ind w:left="720"/>
              <w:jc w:val="both"/>
              <w:rPr>
                <w:rFonts w:ascii="Verdana" w:eastAsia="Times New Roman" w:hAnsi="Verdana"/>
                <w:b/>
                <w:sz w:val="20"/>
                <w:szCs w:val="20"/>
              </w:rPr>
            </w:pPr>
            <w:r w:rsidRPr="00E072DF">
              <w:rPr>
                <w:rFonts w:ascii="Verdana" w:eastAsia="Times New Roman" w:hAnsi="Verdana"/>
                <w:b/>
                <w:sz w:val="20"/>
                <w:szCs w:val="20"/>
              </w:rPr>
              <w:t xml:space="preserve">poslovno-administrativne naloge; </w:t>
            </w:r>
          </w:p>
          <w:p w14:paraId="1402A201" w14:textId="77777777" w:rsidR="00C11985" w:rsidRPr="00E072DF" w:rsidRDefault="00C11985" w:rsidP="00580769">
            <w:pPr>
              <w:numPr>
                <w:ilvl w:val="0"/>
                <w:numId w:val="7"/>
              </w:numPr>
              <w:jc w:val="both"/>
              <w:rPr>
                <w:rFonts w:ascii="Verdana" w:hAnsi="Verdana"/>
                <w:b/>
                <w:sz w:val="20"/>
                <w:szCs w:val="20"/>
              </w:rPr>
            </w:pPr>
            <w:r w:rsidRPr="00E072DF">
              <w:rPr>
                <w:rFonts w:ascii="Verdana" w:eastAsia="Times New Roman" w:hAnsi="Verdana"/>
                <w:b/>
                <w:sz w:val="20"/>
                <w:szCs w:val="20"/>
              </w:rPr>
              <w:t>vodenje in posodabljanje kadrovskih in drugih evidenc iz svoje pristojnosti.</w:t>
            </w:r>
          </w:p>
        </w:tc>
      </w:tr>
      <w:tr w:rsidR="00C11985" w:rsidRPr="00431780" w14:paraId="1FF575FE" w14:textId="77777777" w:rsidTr="00E072DF">
        <w:trPr>
          <w:trHeight w:val="300"/>
        </w:trPr>
        <w:tc>
          <w:tcPr>
            <w:tcW w:w="10065" w:type="dxa"/>
            <w:gridSpan w:val="2"/>
            <w:shd w:val="clear" w:color="auto" w:fill="B8CCE4" w:themeFill="accent1" w:themeFillTint="66"/>
            <w:noWrap/>
            <w:hideMark/>
          </w:tcPr>
          <w:p w14:paraId="5CAD914B" w14:textId="77777777" w:rsidR="00C11985" w:rsidRPr="0041199F" w:rsidRDefault="00C11985" w:rsidP="00580769">
            <w:pPr>
              <w:rPr>
                <w:rFonts w:ascii="Verdana" w:eastAsia="Times New Roman" w:hAnsi="Verdana" w:cs="Times New Roman"/>
                <w:b/>
                <w:bCs/>
                <w:color w:val="000000"/>
                <w:sz w:val="20"/>
                <w:szCs w:val="20"/>
                <w:lang w:eastAsia="sl-SI"/>
              </w:rPr>
            </w:pPr>
          </w:p>
          <w:p w14:paraId="06EC2307" w14:textId="77777777" w:rsidR="00431780" w:rsidRDefault="00C11985" w:rsidP="00580769">
            <w:pPr>
              <w:rPr>
                <w:rFonts w:ascii="Verdana" w:eastAsia="Times New Roman" w:hAnsi="Verdana" w:cs="Times New Roman"/>
                <w:b/>
                <w:bCs/>
                <w:color w:val="000000"/>
                <w:sz w:val="20"/>
                <w:szCs w:val="20"/>
                <w:lang w:eastAsia="sl-SI"/>
              </w:rPr>
            </w:pPr>
            <w:r w:rsidRPr="00BC2666">
              <w:rPr>
                <w:rFonts w:ascii="Verdana" w:eastAsia="Times New Roman" w:hAnsi="Verdana" w:cs="Times New Roman"/>
                <w:b/>
                <w:bCs/>
                <w:color w:val="000000"/>
                <w:sz w:val="20"/>
                <w:szCs w:val="20"/>
                <w:lang w:eastAsia="sl-SI"/>
              </w:rPr>
              <w:t>vodja Barbara Zupančič Kočar; nadomešča jo Mateja Bajuk Malešič</w:t>
            </w:r>
          </w:p>
          <w:p w14:paraId="09ABD420" w14:textId="727A4F0C" w:rsidR="00C11985" w:rsidRPr="0041199F" w:rsidRDefault="00C11985" w:rsidP="00580769">
            <w:pPr>
              <w:rPr>
                <w:rFonts w:ascii="Verdana" w:eastAsia="Times New Roman" w:hAnsi="Verdana" w:cs="Times New Roman"/>
                <w:b/>
                <w:bCs/>
                <w:color w:val="000000"/>
                <w:sz w:val="20"/>
                <w:szCs w:val="20"/>
                <w:lang w:eastAsia="sl-SI"/>
              </w:rPr>
            </w:pPr>
            <w:r w:rsidRPr="0041199F">
              <w:rPr>
                <w:rFonts w:ascii="Verdana" w:eastAsia="Times New Roman" w:hAnsi="Verdana" w:cs="Times New Roman"/>
                <w:b/>
                <w:bCs/>
                <w:color w:val="000000"/>
                <w:sz w:val="20"/>
                <w:szCs w:val="20"/>
                <w:lang w:eastAsia="sl-SI"/>
              </w:rPr>
              <w:t>strokovni delavci: Snežana Mačar, Slađana Tomić, Prudencija Perat, (študentka)</w:t>
            </w:r>
          </w:p>
        </w:tc>
      </w:tr>
      <w:tr w:rsidR="006C6704" w:rsidRPr="001345BC" w14:paraId="67574A30" w14:textId="77777777" w:rsidTr="00E072DF">
        <w:trPr>
          <w:trHeight w:val="270"/>
        </w:trPr>
        <w:tc>
          <w:tcPr>
            <w:tcW w:w="4537" w:type="dxa"/>
            <w:shd w:val="clear" w:color="auto" w:fill="C2D69B" w:themeFill="accent3" w:themeFillTint="99"/>
            <w:hideMark/>
          </w:tcPr>
          <w:p w14:paraId="6D8BAC1A" w14:textId="77777777" w:rsidR="006C6704" w:rsidRPr="001345BC" w:rsidRDefault="006C6704" w:rsidP="00580769">
            <w:pPr>
              <w:rPr>
                <w:rFonts w:ascii="Verdana" w:hAnsi="Verdana"/>
                <w:b/>
                <w:bCs/>
                <w:sz w:val="20"/>
                <w:szCs w:val="20"/>
              </w:rPr>
            </w:pPr>
            <w:r w:rsidRPr="001345BC">
              <w:rPr>
                <w:rFonts w:ascii="Verdana" w:hAnsi="Verdana"/>
                <w:b/>
                <w:bCs/>
                <w:sz w:val="20"/>
                <w:szCs w:val="20"/>
              </w:rPr>
              <w:t>naloga</w:t>
            </w:r>
          </w:p>
        </w:tc>
        <w:tc>
          <w:tcPr>
            <w:tcW w:w="5528" w:type="dxa"/>
            <w:shd w:val="clear" w:color="auto" w:fill="C2D69B" w:themeFill="accent3" w:themeFillTint="99"/>
            <w:hideMark/>
          </w:tcPr>
          <w:p w14:paraId="2256646C" w14:textId="77777777" w:rsidR="006C6704" w:rsidRPr="001345BC" w:rsidRDefault="006C6704" w:rsidP="00580769">
            <w:pPr>
              <w:rPr>
                <w:rFonts w:ascii="Verdana" w:hAnsi="Verdana"/>
                <w:b/>
                <w:bCs/>
                <w:sz w:val="20"/>
                <w:szCs w:val="20"/>
              </w:rPr>
            </w:pPr>
            <w:r w:rsidRPr="001345BC">
              <w:rPr>
                <w:rFonts w:ascii="Verdana" w:hAnsi="Verdana"/>
                <w:b/>
                <w:bCs/>
                <w:sz w:val="20"/>
                <w:szCs w:val="20"/>
              </w:rPr>
              <w:t>vsebina</w:t>
            </w:r>
          </w:p>
        </w:tc>
      </w:tr>
      <w:tr w:rsidR="00406A3D" w:rsidRPr="001345BC" w14:paraId="5F74BF9F" w14:textId="77777777" w:rsidTr="00E072DF">
        <w:trPr>
          <w:trHeight w:val="255"/>
        </w:trPr>
        <w:tc>
          <w:tcPr>
            <w:tcW w:w="10065" w:type="dxa"/>
            <w:gridSpan w:val="2"/>
            <w:shd w:val="clear" w:color="auto" w:fill="E5B8B7" w:themeFill="accent2" w:themeFillTint="66"/>
            <w:hideMark/>
          </w:tcPr>
          <w:p w14:paraId="7F28E8B7" w14:textId="77777777" w:rsidR="00406A3D" w:rsidRPr="001345BC" w:rsidRDefault="00406A3D" w:rsidP="00406A3D">
            <w:pPr>
              <w:rPr>
                <w:rFonts w:ascii="Verdana" w:hAnsi="Verdana"/>
                <w:b/>
                <w:bCs/>
                <w:sz w:val="20"/>
                <w:szCs w:val="20"/>
              </w:rPr>
            </w:pPr>
            <w:r w:rsidRPr="001345BC">
              <w:rPr>
                <w:rFonts w:ascii="Verdana" w:hAnsi="Verdana"/>
                <w:b/>
                <w:bCs/>
                <w:sz w:val="20"/>
                <w:szCs w:val="20"/>
              </w:rPr>
              <w:t xml:space="preserve">1. Zakonodaja in priprava notranjih pravnih aktov agencije  </w:t>
            </w:r>
          </w:p>
        </w:tc>
      </w:tr>
      <w:tr w:rsidR="00406A3D" w:rsidRPr="001345BC" w14:paraId="0F97E130" w14:textId="77777777" w:rsidTr="00E072DF">
        <w:trPr>
          <w:trHeight w:val="255"/>
        </w:trPr>
        <w:tc>
          <w:tcPr>
            <w:tcW w:w="10065" w:type="dxa"/>
            <w:gridSpan w:val="2"/>
            <w:shd w:val="clear" w:color="auto" w:fill="E5B8B7" w:themeFill="accent2" w:themeFillTint="66"/>
            <w:hideMark/>
          </w:tcPr>
          <w:p w14:paraId="1CE81C71" w14:textId="77777777" w:rsidR="00406A3D" w:rsidRPr="001345BC" w:rsidRDefault="00406A3D" w:rsidP="00406A3D">
            <w:pPr>
              <w:rPr>
                <w:rFonts w:ascii="Verdana" w:hAnsi="Verdana"/>
                <w:b/>
                <w:bCs/>
                <w:sz w:val="20"/>
                <w:szCs w:val="20"/>
              </w:rPr>
            </w:pPr>
            <w:r w:rsidRPr="001345BC">
              <w:rPr>
                <w:rFonts w:ascii="Verdana" w:hAnsi="Verdana"/>
                <w:b/>
                <w:bCs/>
                <w:sz w:val="20"/>
                <w:szCs w:val="20"/>
              </w:rPr>
              <w:t xml:space="preserve">2. Pomoč pri izvajanju dejavnosti s področja zagotavljanja kakovosti </w:t>
            </w:r>
          </w:p>
        </w:tc>
      </w:tr>
      <w:tr w:rsidR="00406A3D" w:rsidRPr="001345BC" w14:paraId="7FFCBEB9" w14:textId="77777777" w:rsidTr="00E072DF">
        <w:trPr>
          <w:trHeight w:val="1275"/>
        </w:trPr>
        <w:tc>
          <w:tcPr>
            <w:tcW w:w="4537" w:type="dxa"/>
            <w:hideMark/>
          </w:tcPr>
          <w:p w14:paraId="50A6A283" w14:textId="77777777" w:rsidR="00406A3D" w:rsidRPr="001345BC" w:rsidRDefault="00406A3D" w:rsidP="00406A3D">
            <w:pPr>
              <w:rPr>
                <w:rFonts w:ascii="Verdana" w:hAnsi="Verdana"/>
                <w:sz w:val="20"/>
                <w:szCs w:val="20"/>
              </w:rPr>
            </w:pPr>
            <w:r w:rsidRPr="001345BC">
              <w:rPr>
                <w:rFonts w:ascii="Verdana" w:hAnsi="Verdana"/>
                <w:sz w:val="20"/>
                <w:szCs w:val="20"/>
              </w:rPr>
              <w:t>Pravna podpora svetu agencije</w:t>
            </w:r>
          </w:p>
        </w:tc>
        <w:tc>
          <w:tcPr>
            <w:tcW w:w="5528" w:type="dxa"/>
            <w:hideMark/>
          </w:tcPr>
          <w:p w14:paraId="23B55EA6" w14:textId="77777777" w:rsidR="00406A3D" w:rsidRPr="001345BC" w:rsidRDefault="00406A3D" w:rsidP="00406A3D">
            <w:pPr>
              <w:rPr>
                <w:rFonts w:ascii="Verdana" w:hAnsi="Verdana"/>
                <w:sz w:val="20"/>
                <w:szCs w:val="20"/>
              </w:rPr>
            </w:pPr>
            <w:r w:rsidRPr="001345BC">
              <w:rPr>
                <w:rFonts w:ascii="Verdana" w:hAnsi="Verdana"/>
                <w:sz w:val="20"/>
                <w:szCs w:val="20"/>
              </w:rPr>
              <w:t>Sodelovanje na sejah sveta agencije in skrb za zakonitost odločitev sveta agencije, pregledovanje zapisnikov, predlogov sklepov.  Sodelovanje pri pripravi meril in drugih podzakonskih aktov sveta agencije.  Pomoč pri tolmačenju predpisov.</w:t>
            </w:r>
          </w:p>
        </w:tc>
      </w:tr>
      <w:tr w:rsidR="00406A3D" w:rsidRPr="001345BC" w14:paraId="20C5C9E4" w14:textId="77777777" w:rsidTr="00E072DF">
        <w:trPr>
          <w:trHeight w:val="541"/>
        </w:trPr>
        <w:tc>
          <w:tcPr>
            <w:tcW w:w="4537" w:type="dxa"/>
            <w:hideMark/>
          </w:tcPr>
          <w:p w14:paraId="1E2DB6CC" w14:textId="77777777" w:rsidR="00406A3D" w:rsidRPr="001345BC" w:rsidRDefault="00406A3D" w:rsidP="00406A3D">
            <w:pPr>
              <w:rPr>
                <w:rFonts w:ascii="Verdana" w:hAnsi="Verdana"/>
                <w:sz w:val="20"/>
                <w:szCs w:val="20"/>
              </w:rPr>
            </w:pPr>
            <w:proofErr w:type="spellStart"/>
            <w:r w:rsidRPr="001345BC">
              <w:rPr>
                <w:rFonts w:ascii="Verdana" w:hAnsi="Verdana"/>
                <w:sz w:val="20"/>
                <w:szCs w:val="20"/>
              </w:rPr>
              <w:t>Akreditacijski</w:t>
            </w:r>
            <w:proofErr w:type="spellEnd"/>
            <w:r w:rsidRPr="001345BC">
              <w:rPr>
                <w:rFonts w:ascii="Verdana" w:hAnsi="Verdana"/>
                <w:sz w:val="20"/>
                <w:szCs w:val="20"/>
              </w:rPr>
              <w:t xml:space="preserve"> in </w:t>
            </w:r>
            <w:proofErr w:type="spellStart"/>
            <w:r w:rsidRPr="001345BC">
              <w:rPr>
                <w:rFonts w:ascii="Verdana" w:hAnsi="Verdana"/>
                <w:sz w:val="20"/>
                <w:szCs w:val="20"/>
              </w:rPr>
              <w:t>evalvacijski</w:t>
            </w:r>
            <w:proofErr w:type="spellEnd"/>
            <w:r w:rsidRPr="001345BC">
              <w:rPr>
                <w:rFonts w:ascii="Verdana" w:hAnsi="Verdana"/>
                <w:sz w:val="20"/>
                <w:szCs w:val="20"/>
              </w:rPr>
              <w:t xml:space="preserve"> postopki</w:t>
            </w:r>
          </w:p>
        </w:tc>
        <w:tc>
          <w:tcPr>
            <w:tcW w:w="5528" w:type="dxa"/>
            <w:hideMark/>
          </w:tcPr>
          <w:p w14:paraId="5ACA5FB0" w14:textId="251F1C92" w:rsidR="00406A3D" w:rsidRPr="001345BC" w:rsidRDefault="00CC73BC" w:rsidP="00406A3D">
            <w:pPr>
              <w:rPr>
                <w:rFonts w:ascii="Verdana" w:hAnsi="Verdana"/>
                <w:sz w:val="20"/>
                <w:szCs w:val="20"/>
              </w:rPr>
            </w:pPr>
            <w:r>
              <w:rPr>
                <w:rFonts w:ascii="Verdana" w:hAnsi="Verdana"/>
                <w:sz w:val="20"/>
                <w:szCs w:val="20"/>
              </w:rPr>
              <w:t>Sodelovanje pri pripravi meril za akreditacije in evalvacije;</w:t>
            </w:r>
            <w:r w:rsidR="00406A3D" w:rsidRPr="001345BC">
              <w:rPr>
                <w:rFonts w:ascii="Verdana" w:hAnsi="Verdana"/>
                <w:sz w:val="20"/>
                <w:szCs w:val="20"/>
              </w:rPr>
              <w:t xml:space="preserve"> </w:t>
            </w:r>
            <w:r>
              <w:rPr>
                <w:rFonts w:ascii="Verdana" w:hAnsi="Verdana"/>
                <w:sz w:val="20"/>
                <w:szCs w:val="20"/>
              </w:rPr>
              <w:t>p</w:t>
            </w:r>
            <w:r w:rsidR="00406A3D" w:rsidRPr="001345BC">
              <w:rPr>
                <w:rFonts w:ascii="Verdana" w:hAnsi="Verdana"/>
                <w:sz w:val="20"/>
                <w:szCs w:val="20"/>
              </w:rPr>
              <w:t>ravna pomoč strokovnim delavcem pri vodenju postopkov</w:t>
            </w:r>
            <w:r>
              <w:rPr>
                <w:rFonts w:ascii="Verdana" w:hAnsi="Verdana"/>
                <w:sz w:val="20"/>
                <w:szCs w:val="20"/>
              </w:rPr>
              <w:t xml:space="preserve"> (ZUP)</w:t>
            </w:r>
            <w:r w:rsidR="00406A3D" w:rsidRPr="001345BC">
              <w:rPr>
                <w:rFonts w:ascii="Verdana" w:hAnsi="Verdana"/>
                <w:sz w:val="20"/>
                <w:szCs w:val="20"/>
              </w:rPr>
              <w:t>.</w:t>
            </w:r>
          </w:p>
        </w:tc>
      </w:tr>
      <w:tr w:rsidR="00406A3D" w:rsidRPr="001345BC" w14:paraId="2B1012FD" w14:textId="77777777" w:rsidTr="00E072DF">
        <w:trPr>
          <w:trHeight w:val="255"/>
        </w:trPr>
        <w:tc>
          <w:tcPr>
            <w:tcW w:w="10065" w:type="dxa"/>
            <w:gridSpan w:val="2"/>
            <w:shd w:val="clear" w:color="auto" w:fill="E5B8B7" w:themeFill="accent2" w:themeFillTint="66"/>
            <w:hideMark/>
          </w:tcPr>
          <w:p w14:paraId="5EDEF955" w14:textId="77777777" w:rsidR="00406A3D" w:rsidRPr="001345BC" w:rsidRDefault="00406A3D" w:rsidP="00406A3D">
            <w:pPr>
              <w:rPr>
                <w:rFonts w:ascii="Verdana" w:hAnsi="Verdana"/>
                <w:b/>
                <w:bCs/>
                <w:sz w:val="20"/>
                <w:szCs w:val="20"/>
              </w:rPr>
            </w:pPr>
            <w:r w:rsidRPr="001345BC">
              <w:rPr>
                <w:rFonts w:ascii="Verdana" w:hAnsi="Verdana"/>
                <w:b/>
                <w:bCs/>
                <w:sz w:val="20"/>
                <w:szCs w:val="20"/>
              </w:rPr>
              <w:t xml:space="preserve">3. Delo za pritožbeno komisijo </w:t>
            </w:r>
          </w:p>
        </w:tc>
      </w:tr>
      <w:tr w:rsidR="00406A3D" w:rsidRPr="001345BC" w14:paraId="3F3799DD" w14:textId="77777777" w:rsidTr="00E072DF">
        <w:trPr>
          <w:trHeight w:val="510"/>
        </w:trPr>
        <w:tc>
          <w:tcPr>
            <w:tcW w:w="4537" w:type="dxa"/>
            <w:hideMark/>
          </w:tcPr>
          <w:p w14:paraId="22B536F9" w14:textId="77777777" w:rsidR="00406A3D" w:rsidRPr="001345BC" w:rsidRDefault="00406A3D" w:rsidP="00406A3D">
            <w:pPr>
              <w:rPr>
                <w:rFonts w:ascii="Verdana" w:hAnsi="Verdana"/>
                <w:sz w:val="20"/>
                <w:szCs w:val="20"/>
              </w:rPr>
            </w:pPr>
            <w:r w:rsidRPr="001345BC">
              <w:rPr>
                <w:rFonts w:ascii="Verdana" w:hAnsi="Verdana"/>
                <w:sz w:val="20"/>
                <w:szCs w:val="20"/>
              </w:rPr>
              <w:lastRenderedPageBreak/>
              <w:t>Pravna podpora pritožbeni komisiji</w:t>
            </w:r>
          </w:p>
        </w:tc>
        <w:tc>
          <w:tcPr>
            <w:tcW w:w="5528" w:type="dxa"/>
            <w:hideMark/>
          </w:tcPr>
          <w:p w14:paraId="1D0AB7BD" w14:textId="77777777" w:rsidR="00406A3D" w:rsidRPr="001345BC" w:rsidRDefault="00406A3D" w:rsidP="00406A3D">
            <w:pPr>
              <w:rPr>
                <w:rFonts w:ascii="Verdana" w:hAnsi="Verdana"/>
                <w:sz w:val="20"/>
                <w:szCs w:val="20"/>
              </w:rPr>
            </w:pPr>
            <w:r w:rsidRPr="001345BC">
              <w:rPr>
                <w:rFonts w:ascii="Verdana" w:hAnsi="Verdana"/>
                <w:sz w:val="20"/>
                <w:szCs w:val="20"/>
              </w:rPr>
              <w:t>Priprava gradiv, sodelovanje na seji, priprava zapisnikov ter osnutkov odločb.</w:t>
            </w:r>
          </w:p>
        </w:tc>
      </w:tr>
      <w:tr w:rsidR="00406A3D" w:rsidRPr="001345BC" w14:paraId="21A14846" w14:textId="77777777" w:rsidTr="00E072DF">
        <w:trPr>
          <w:trHeight w:val="255"/>
        </w:trPr>
        <w:tc>
          <w:tcPr>
            <w:tcW w:w="10065" w:type="dxa"/>
            <w:gridSpan w:val="2"/>
            <w:shd w:val="clear" w:color="auto" w:fill="E5B8B7" w:themeFill="accent2" w:themeFillTint="66"/>
            <w:hideMark/>
          </w:tcPr>
          <w:p w14:paraId="531682B5" w14:textId="77777777" w:rsidR="00406A3D" w:rsidRPr="001345BC" w:rsidRDefault="00406A3D" w:rsidP="00406A3D">
            <w:pPr>
              <w:rPr>
                <w:rFonts w:ascii="Verdana" w:hAnsi="Verdana"/>
                <w:b/>
                <w:bCs/>
                <w:sz w:val="20"/>
                <w:szCs w:val="20"/>
              </w:rPr>
            </w:pPr>
            <w:r w:rsidRPr="001345BC">
              <w:rPr>
                <w:rFonts w:ascii="Verdana" w:hAnsi="Verdana"/>
                <w:b/>
                <w:bCs/>
                <w:sz w:val="20"/>
                <w:szCs w:val="20"/>
              </w:rPr>
              <w:t xml:space="preserve">4. Finančne in kadrovske zadeve </w:t>
            </w:r>
          </w:p>
        </w:tc>
      </w:tr>
      <w:tr w:rsidR="00406A3D" w:rsidRPr="001345BC" w14:paraId="23307589" w14:textId="77777777" w:rsidTr="00E072DF">
        <w:trPr>
          <w:trHeight w:val="765"/>
        </w:trPr>
        <w:tc>
          <w:tcPr>
            <w:tcW w:w="4537" w:type="dxa"/>
            <w:hideMark/>
          </w:tcPr>
          <w:p w14:paraId="435E7C32" w14:textId="77777777" w:rsidR="00406A3D" w:rsidRPr="001345BC" w:rsidRDefault="00406A3D" w:rsidP="00406A3D">
            <w:pPr>
              <w:rPr>
                <w:rFonts w:ascii="Verdana" w:hAnsi="Verdana"/>
                <w:sz w:val="20"/>
                <w:szCs w:val="20"/>
              </w:rPr>
            </w:pPr>
            <w:r w:rsidRPr="001345BC">
              <w:rPr>
                <w:rFonts w:ascii="Verdana" w:hAnsi="Verdana"/>
                <w:sz w:val="20"/>
                <w:szCs w:val="20"/>
              </w:rPr>
              <w:t xml:space="preserve">Redne kadrovske zadeve </w:t>
            </w:r>
          </w:p>
        </w:tc>
        <w:tc>
          <w:tcPr>
            <w:tcW w:w="5528" w:type="dxa"/>
            <w:hideMark/>
          </w:tcPr>
          <w:p w14:paraId="1ACF710B" w14:textId="77777777" w:rsidR="00406A3D" w:rsidRPr="001345BC" w:rsidRDefault="00406A3D" w:rsidP="00406A3D">
            <w:pPr>
              <w:rPr>
                <w:rFonts w:ascii="Verdana" w:hAnsi="Verdana"/>
                <w:sz w:val="20"/>
                <w:szCs w:val="20"/>
              </w:rPr>
            </w:pPr>
            <w:r w:rsidRPr="001345BC">
              <w:rPr>
                <w:rFonts w:ascii="Verdana" w:hAnsi="Verdana"/>
                <w:sz w:val="20"/>
                <w:szCs w:val="20"/>
              </w:rPr>
              <w:t>Vnos podatkov za plače, obvestila o dopustih, povečan obseg dela, preverjanje pogojev za napredovanje ipd.</w:t>
            </w:r>
          </w:p>
        </w:tc>
      </w:tr>
      <w:tr w:rsidR="00406A3D" w:rsidRPr="001345BC" w14:paraId="0ED3BCB9" w14:textId="77777777" w:rsidTr="00E072DF">
        <w:trPr>
          <w:trHeight w:val="510"/>
        </w:trPr>
        <w:tc>
          <w:tcPr>
            <w:tcW w:w="4537" w:type="dxa"/>
            <w:hideMark/>
          </w:tcPr>
          <w:p w14:paraId="1519C7A3" w14:textId="77777777" w:rsidR="00406A3D" w:rsidRPr="001345BC" w:rsidRDefault="00406A3D" w:rsidP="00406A3D">
            <w:pPr>
              <w:rPr>
                <w:rFonts w:ascii="Verdana" w:hAnsi="Verdana"/>
                <w:sz w:val="20"/>
                <w:szCs w:val="20"/>
              </w:rPr>
            </w:pPr>
            <w:r w:rsidRPr="001345BC">
              <w:rPr>
                <w:rFonts w:ascii="Verdana" w:hAnsi="Verdana"/>
                <w:sz w:val="20"/>
                <w:szCs w:val="20"/>
              </w:rPr>
              <w:t>Avtorske pogodbe za strokovnjake</w:t>
            </w:r>
          </w:p>
        </w:tc>
        <w:tc>
          <w:tcPr>
            <w:tcW w:w="5528" w:type="dxa"/>
            <w:hideMark/>
          </w:tcPr>
          <w:p w14:paraId="190C7AE7" w14:textId="77777777" w:rsidR="00406A3D" w:rsidRPr="001345BC" w:rsidRDefault="00406A3D" w:rsidP="00406A3D">
            <w:pPr>
              <w:rPr>
                <w:rFonts w:ascii="Verdana" w:hAnsi="Verdana"/>
                <w:sz w:val="20"/>
                <w:szCs w:val="20"/>
              </w:rPr>
            </w:pPr>
            <w:r w:rsidRPr="001345BC">
              <w:rPr>
                <w:rFonts w:ascii="Verdana" w:hAnsi="Verdana"/>
                <w:sz w:val="20"/>
                <w:szCs w:val="20"/>
              </w:rPr>
              <w:t>Priprava avtorskih pogodb in aneksov k pogodbam v akreditacijskih in elevacijskih postopkih.</w:t>
            </w:r>
          </w:p>
        </w:tc>
      </w:tr>
      <w:tr w:rsidR="00406A3D" w:rsidRPr="001345BC" w14:paraId="3AF7392F" w14:textId="77777777" w:rsidTr="00E072DF">
        <w:trPr>
          <w:trHeight w:val="765"/>
        </w:trPr>
        <w:tc>
          <w:tcPr>
            <w:tcW w:w="4537" w:type="dxa"/>
            <w:hideMark/>
          </w:tcPr>
          <w:p w14:paraId="6BFBBFA6" w14:textId="77777777" w:rsidR="00406A3D" w:rsidRPr="001345BC" w:rsidRDefault="00406A3D" w:rsidP="00406A3D">
            <w:pPr>
              <w:rPr>
                <w:rFonts w:ascii="Verdana" w:hAnsi="Verdana"/>
                <w:sz w:val="20"/>
                <w:szCs w:val="20"/>
              </w:rPr>
            </w:pPr>
            <w:r w:rsidRPr="001345BC">
              <w:rPr>
                <w:rFonts w:ascii="Verdana" w:hAnsi="Verdana"/>
                <w:sz w:val="20"/>
                <w:szCs w:val="20"/>
              </w:rPr>
              <w:t>Izplačila računov, zahtevkov strokovnjakov, potnih nalogov</w:t>
            </w:r>
          </w:p>
        </w:tc>
        <w:tc>
          <w:tcPr>
            <w:tcW w:w="5528" w:type="dxa"/>
            <w:hideMark/>
          </w:tcPr>
          <w:p w14:paraId="33F43738" w14:textId="77777777" w:rsidR="00406A3D" w:rsidRPr="001345BC" w:rsidRDefault="00406A3D" w:rsidP="00406A3D">
            <w:pPr>
              <w:rPr>
                <w:rFonts w:ascii="Verdana" w:hAnsi="Verdana"/>
                <w:sz w:val="20"/>
                <w:szCs w:val="20"/>
              </w:rPr>
            </w:pPr>
            <w:r w:rsidRPr="001345BC">
              <w:rPr>
                <w:rFonts w:ascii="Verdana" w:hAnsi="Verdana"/>
                <w:sz w:val="20"/>
                <w:szCs w:val="20"/>
              </w:rPr>
              <w:t xml:space="preserve">Pripravljanje odredb za plačila računov, zahtevkov po avtorskih pogodbah, obrazcev FEP, izplačila potnih nalogov zaposlenih. </w:t>
            </w:r>
          </w:p>
        </w:tc>
      </w:tr>
      <w:tr w:rsidR="00406A3D" w:rsidRPr="001345BC" w14:paraId="776B1184" w14:textId="77777777" w:rsidTr="00E072DF">
        <w:trPr>
          <w:trHeight w:val="510"/>
        </w:trPr>
        <w:tc>
          <w:tcPr>
            <w:tcW w:w="4537" w:type="dxa"/>
            <w:hideMark/>
          </w:tcPr>
          <w:p w14:paraId="395991BF" w14:textId="77777777" w:rsidR="00406A3D" w:rsidRPr="001345BC" w:rsidRDefault="00406A3D" w:rsidP="00406A3D">
            <w:pPr>
              <w:rPr>
                <w:rFonts w:ascii="Verdana" w:hAnsi="Verdana"/>
                <w:sz w:val="20"/>
                <w:szCs w:val="20"/>
              </w:rPr>
            </w:pPr>
            <w:r w:rsidRPr="001345BC">
              <w:rPr>
                <w:rFonts w:ascii="Verdana" w:hAnsi="Verdana"/>
                <w:sz w:val="20"/>
                <w:szCs w:val="20"/>
              </w:rPr>
              <w:t>Izvajanje proračuna</w:t>
            </w:r>
          </w:p>
        </w:tc>
        <w:tc>
          <w:tcPr>
            <w:tcW w:w="5528" w:type="dxa"/>
            <w:hideMark/>
          </w:tcPr>
          <w:p w14:paraId="3C3925C7" w14:textId="77777777" w:rsidR="00406A3D" w:rsidRPr="001345BC" w:rsidRDefault="00406A3D" w:rsidP="00406A3D">
            <w:pPr>
              <w:rPr>
                <w:rFonts w:ascii="Verdana" w:hAnsi="Verdana"/>
                <w:sz w:val="20"/>
                <w:szCs w:val="20"/>
              </w:rPr>
            </w:pPr>
            <w:r w:rsidRPr="001345BC">
              <w:rPr>
                <w:rFonts w:ascii="Verdana" w:hAnsi="Verdana"/>
                <w:sz w:val="20"/>
                <w:szCs w:val="20"/>
              </w:rPr>
              <w:t>Razporejanje med in znotraj proračunskih postavk, usklajevanje načrta razvojnih programov (NRP).</w:t>
            </w:r>
          </w:p>
        </w:tc>
      </w:tr>
      <w:tr w:rsidR="00406A3D" w:rsidRPr="001345BC" w14:paraId="75DBADB4" w14:textId="77777777" w:rsidTr="00E072DF">
        <w:trPr>
          <w:trHeight w:val="765"/>
        </w:trPr>
        <w:tc>
          <w:tcPr>
            <w:tcW w:w="4537" w:type="dxa"/>
            <w:hideMark/>
          </w:tcPr>
          <w:p w14:paraId="618BE711" w14:textId="77777777" w:rsidR="00406A3D" w:rsidRPr="001345BC" w:rsidRDefault="00406A3D" w:rsidP="00406A3D">
            <w:pPr>
              <w:rPr>
                <w:rFonts w:ascii="Verdana" w:hAnsi="Verdana"/>
                <w:sz w:val="20"/>
                <w:szCs w:val="20"/>
              </w:rPr>
            </w:pPr>
            <w:r w:rsidRPr="001345BC">
              <w:rPr>
                <w:rFonts w:ascii="Verdana" w:hAnsi="Verdana"/>
                <w:sz w:val="20"/>
                <w:szCs w:val="20"/>
              </w:rPr>
              <w:t>Likvidnostni načrti</w:t>
            </w:r>
          </w:p>
        </w:tc>
        <w:tc>
          <w:tcPr>
            <w:tcW w:w="5528" w:type="dxa"/>
            <w:hideMark/>
          </w:tcPr>
          <w:p w14:paraId="4F2C6997" w14:textId="77777777" w:rsidR="00406A3D" w:rsidRPr="001345BC" w:rsidRDefault="00406A3D" w:rsidP="00406A3D">
            <w:pPr>
              <w:rPr>
                <w:rFonts w:ascii="Verdana" w:hAnsi="Verdana"/>
                <w:sz w:val="20"/>
                <w:szCs w:val="20"/>
              </w:rPr>
            </w:pPr>
            <w:r w:rsidRPr="001345BC">
              <w:rPr>
                <w:rFonts w:ascii="Verdana" w:hAnsi="Verdana"/>
                <w:sz w:val="20"/>
                <w:szCs w:val="20"/>
              </w:rPr>
              <w:t>Izdelovanje likvidnostnih načrtov, spremljanje realizacije od načrtovanega, priprava predlogov ob spremembah.</w:t>
            </w:r>
          </w:p>
        </w:tc>
      </w:tr>
      <w:tr w:rsidR="00406A3D" w:rsidRPr="001345BC" w14:paraId="18B1DFDE" w14:textId="77777777" w:rsidTr="00E072DF">
        <w:trPr>
          <w:trHeight w:val="510"/>
        </w:trPr>
        <w:tc>
          <w:tcPr>
            <w:tcW w:w="4537" w:type="dxa"/>
            <w:hideMark/>
          </w:tcPr>
          <w:p w14:paraId="07A3C928" w14:textId="77777777" w:rsidR="00406A3D" w:rsidRPr="001345BC" w:rsidRDefault="00406A3D" w:rsidP="00406A3D">
            <w:pPr>
              <w:rPr>
                <w:rFonts w:ascii="Verdana" w:hAnsi="Verdana"/>
                <w:sz w:val="20"/>
                <w:szCs w:val="20"/>
              </w:rPr>
            </w:pPr>
            <w:r w:rsidRPr="001345BC">
              <w:rPr>
                <w:rFonts w:ascii="Verdana" w:hAnsi="Verdana"/>
                <w:sz w:val="20"/>
                <w:szCs w:val="20"/>
              </w:rPr>
              <w:t>Predlog proračuna in zaključnega računa</w:t>
            </w:r>
          </w:p>
        </w:tc>
        <w:tc>
          <w:tcPr>
            <w:tcW w:w="5528" w:type="dxa"/>
            <w:hideMark/>
          </w:tcPr>
          <w:p w14:paraId="3168B343" w14:textId="77777777" w:rsidR="00406A3D" w:rsidRPr="001345BC" w:rsidRDefault="00406A3D" w:rsidP="00406A3D">
            <w:pPr>
              <w:rPr>
                <w:rFonts w:ascii="Verdana" w:hAnsi="Verdana"/>
                <w:sz w:val="20"/>
                <w:szCs w:val="20"/>
              </w:rPr>
            </w:pPr>
            <w:r w:rsidRPr="001345BC">
              <w:rPr>
                <w:rFonts w:ascii="Verdana" w:hAnsi="Verdana"/>
                <w:sz w:val="20"/>
                <w:szCs w:val="20"/>
              </w:rPr>
              <w:t>Sodelovanje pri pripravi predloga proračuna in zaključnega računa, finančno področje.</w:t>
            </w:r>
          </w:p>
        </w:tc>
      </w:tr>
      <w:tr w:rsidR="00406A3D" w:rsidRPr="001345BC" w14:paraId="5E4974E1" w14:textId="77777777" w:rsidTr="00E072DF">
        <w:trPr>
          <w:trHeight w:val="765"/>
        </w:trPr>
        <w:tc>
          <w:tcPr>
            <w:tcW w:w="4537" w:type="dxa"/>
            <w:hideMark/>
          </w:tcPr>
          <w:p w14:paraId="7AE608E8" w14:textId="77777777" w:rsidR="00406A3D" w:rsidRPr="001345BC" w:rsidRDefault="00406A3D" w:rsidP="00406A3D">
            <w:pPr>
              <w:rPr>
                <w:rFonts w:ascii="Verdana" w:hAnsi="Verdana"/>
                <w:sz w:val="20"/>
                <w:szCs w:val="20"/>
              </w:rPr>
            </w:pPr>
            <w:r w:rsidRPr="001345BC">
              <w:rPr>
                <w:rFonts w:ascii="Verdana" w:hAnsi="Verdana"/>
                <w:sz w:val="20"/>
                <w:szCs w:val="20"/>
              </w:rPr>
              <w:t>Redne finančne zadeve</w:t>
            </w:r>
          </w:p>
        </w:tc>
        <w:tc>
          <w:tcPr>
            <w:tcW w:w="5528" w:type="dxa"/>
            <w:hideMark/>
          </w:tcPr>
          <w:p w14:paraId="65F0B480" w14:textId="77777777" w:rsidR="00406A3D" w:rsidRPr="001345BC" w:rsidRDefault="00406A3D" w:rsidP="00406A3D">
            <w:pPr>
              <w:rPr>
                <w:rFonts w:ascii="Verdana" w:hAnsi="Verdana"/>
                <w:sz w:val="20"/>
                <w:szCs w:val="20"/>
              </w:rPr>
            </w:pPr>
            <w:r w:rsidRPr="001345BC">
              <w:rPr>
                <w:rFonts w:ascii="Verdana" w:hAnsi="Verdana"/>
                <w:sz w:val="20"/>
                <w:szCs w:val="20"/>
              </w:rPr>
              <w:t xml:space="preserve">Sodelovanje z Direktoratom za proračun, priprava statističnih podatkov, priprava poročil, informacij, vodenje finančne dokumentacije. </w:t>
            </w:r>
          </w:p>
        </w:tc>
      </w:tr>
      <w:tr w:rsidR="00406A3D" w:rsidRPr="001345BC" w14:paraId="35BAFFB8" w14:textId="77777777" w:rsidTr="00E072DF">
        <w:trPr>
          <w:trHeight w:val="255"/>
        </w:trPr>
        <w:tc>
          <w:tcPr>
            <w:tcW w:w="10065" w:type="dxa"/>
            <w:gridSpan w:val="2"/>
            <w:shd w:val="clear" w:color="auto" w:fill="E5B8B7" w:themeFill="accent2" w:themeFillTint="66"/>
            <w:hideMark/>
          </w:tcPr>
          <w:p w14:paraId="4315C889" w14:textId="77777777" w:rsidR="00406A3D" w:rsidRPr="001345BC" w:rsidRDefault="00406A3D" w:rsidP="00406A3D">
            <w:pPr>
              <w:rPr>
                <w:rFonts w:ascii="Verdana" w:hAnsi="Verdana"/>
                <w:b/>
                <w:bCs/>
                <w:sz w:val="20"/>
                <w:szCs w:val="20"/>
              </w:rPr>
            </w:pPr>
            <w:r w:rsidRPr="001345BC">
              <w:rPr>
                <w:rFonts w:ascii="Verdana" w:hAnsi="Verdana"/>
                <w:b/>
                <w:bCs/>
                <w:sz w:val="20"/>
                <w:szCs w:val="20"/>
              </w:rPr>
              <w:t xml:space="preserve">5. Dostop do informacij javnega značaja  </w:t>
            </w:r>
          </w:p>
        </w:tc>
      </w:tr>
      <w:tr w:rsidR="00406A3D" w:rsidRPr="001345BC" w14:paraId="0A90F0E3" w14:textId="77777777" w:rsidTr="00E072DF">
        <w:trPr>
          <w:trHeight w:val="1020"/>
        </w:trPr>
        <w:tc>
          <w:tcPr>
            <w:tcW w:w="4537" w:type="dxa"/>
            <w:hideMark/>
          </w:tcPr>
          <w:p w14:paraId="61F1086A" w14:textId="77777777" w:rsidR="00406A3D" w:rsidRPr="001345BC" w:rsidRDefault="00406A3D" w:rsidP="00406A3D">
            <w:pPr>
              <w:rPr>
                <w:rFonts w:ascii="Verdana" w:hAnsi="Verdana"/>
                <w:sz w:val="20"/>
                <w:szCs w:val="20"/>
              </w:rPr>
            </w:pPr>
            <w:r w:rsidRPr="001345BC">
              <w:rPr>
                <w:rFonts w:ascii="Verdana" w:hAnsi="Verdana"/>
                <w:sz w:val="20"/>
                <w:szCs w:val="20"/>
              </w:rPr>
              <w:t>Vodenje postopkov v zvezi z zahtevo za dostop do informacij javnega značaja</w:t>
            </w:r>
          </w:p>
        </w:tc>
        <w:tc>
          <w:tcPr>
            <w:tcW w:w="5528" w:type="dxa"/>
            <w:hideMark/>
          </w:tcPr>
          <w:p w14:paraId="76DCAACA" w14:textId="77777777" w:rsidR="00406A3D" w:rsidRPr="001345BC" w:rsidRDefault="00406A3D" w:rsidP="00406A3D">
            <w:pPr>
              <w:rPr>
                <w:rFonts w:ascii="Verdana" w:hAnsi="Verdana"/>
                <w:sz w:val="20"/>
                <w:szCs w:val="20"/>
              </w:rPr>
            </w:pPr>
            <w:r w:rsidRPr="001345BC">
              <w:rPr>
                <w:rFonts w:ascii="Verdana" w:hAnsi="Verdana"/>
                <w:sz w:val="20"/>
                <w:szCs w:val="20"/>
              </w:rPr>
              <w:t>Vodenje postopkov v zvezi s prejetimi zahtevami za dostop do informacij javnega značaja (preučitev zahteve, morebitnih izjem do dostopa, priprava dokumentacije, pisanje odločb).</w:t>
            </w:r>
          </w:p>
        </w:tc>
      </w:tr>
      <w:tr w:rsidR="00406A3D" w:rsidRPr="001345BC" w14:paraId="3A3EA418" w14:textId="77777777" w:rsidTr="00E072DF">
        <w:trPr>
          <w:trHeight w:val="255"/>
        </w:trPr>
        <w:tc>
          <w:tcPr>
            <w:tcW w:w="4537" w:type="dxa"/>
            <w:hideMark/>
          </w:tcPr>
          <w:p w14:paraId="7575DE59" w14:textId="77777777" w:rsidR="00406A3D" w:rsidRPr="001345BC" w:rsidRDefault="00406A3D" w:rsidP="00406A3D">
            <w:pPr>
              <w:rPr>
                <w:rFonts w:ascii="Verdana" w:hAnsi="Verdana"/>
                <w:sz w:val="20"/>
                <w:szCs w:val="20"/>
              </w:rPr>
            </w:pPr>
            <w:r w:rsidRPr="001345BC">
              <w:rPr>
                <w:rFonts w:ascii="Verdana" w:hAnsi="Verdana"/>
                <w:sz w:val="20"/>
                <w:szCs w:val="20"/>
              </w:rPr>
              <w:t>Katalog informacij javnega značaja</w:t>
            </w:r>
          </w:p>
        </w:tc>
        <w:tc>
          <w:tcPr>
            <w:tcW w:w="5528" w:type="dxa"/>
            <w:hideMark/>
          </w:tcPr>
          <w:p w14:paraId="45DFEAC7" w14:textId="77777777" w:rsidR="00406A3D" w:rsidRPr="001345BC" w:rsidRDefault="00406A3D" w:rsidP="00406A3D">
            <w:pPr>
              <w:rPr>
                <w:rFonts w:ascii="Verdana" w:hAnsi="Verdana"/>
                <w:sz w:val="20"/>
                <w:szCs w:val="20"/>
              </w:rPr>
            </w:pPr>
            <w:r w:rsidRPr="001345BC">
              <w:rPr>
                <w:rFonts w:ascii="Verdana" w:hAnsi="Verdana"/>
                <w:sz w:val="20"/>
                <w:szCs w:val="20"/>
              </w:rPr>
              <w:t>Sprotno posodabljanje kataloga.</w:t>
            </w:r>
          </w:p>
        </w:tc>
      </w:tr>
      <w:tr w:rsidR="00406A3D" w:rsidRPr="001345BC" w14:paraId="341CF239" w14:textId="77777777" w:rsidTr="00E072DF">
        <w:trPr>
          <w:trHeight w:val="255"/>
        </w:trPr>
        <w:tc>
          <w:tcPr>
            <w:tcW w:w="10065" w:type="dxa"/>
            <w:gridSpan w:val="2"/>
            <w:shd w:val="clear" w:color="auto" w:fill="E5B8B7" w:themeFill="accent2" w:themeFillTint="66"/>
            <w:hideMark/>
          </w:tcPr>
          <w:p w14:paraId="1029F15B" w14:textId="77777777" w:rsidR="00406A3D" w:rsidRPr="001345BC" w:rsidRDefault="00406A3D" w:rsidP="00406A3D">
            <w:pPr>
              <w:rPr>
                <w:rFonts w:ascii="Verdana" w:hAnsi="Verdana"/>
                <w:b/>
                <w:bCs/>
                <w:sz w:val="20"/>
                <w:szCs w:val="20"/>
              </w:rPr>
            </w:pPr>
            <w:r w:rsidRPr="001345BC">
              <w:rPr>
                <w:rFonts w:ascii="Verdana" w:hAnsi="Verdana"/>
                <w:b/>
                <w:bCs/>
                <w:sz w:val="20"/>
                <w:szCs w:val="20"/>
              </w:rPr>
              <w:t xml:space="preserve">6. Poslovno-administrativne naloge </w:t>
            </w:r>
          </w:p>
        </w:tc>
      </w:tr>
      <w:tr w:rsidR="00406A3D" w:rsidRPr="001345BC" w14:paraId="68D91D04" w14:textId="77777777" w:rsidTr="00E072DF">
        <w:trPr>
          <w:trHeight w:val="765"/>
        </w:trPr>
        <w:tc>
          <w:tcPr>
            <w:tcW w:w="4537" w:type="dxa"/>
            <w:hideMark/>
          </w:tcPr>
          <w:p w14:paraId="55853718" w14:textId="77777777" w:rsidR="00406A3D" w:rsidRPr="001345BC" w:rsidRDefault="00406A3D" w:rsidP="00406A3D">
            <w:pPr>
              <w:rPr>
                <w:rFonts w:ascii="Verdana" w:hAnsi="Verdana"/>
                <w:sz w:val="20"/>
                <w:szCs w:val="20"/>
              </w:rPr>
            </w:pPr>
            <w:r w:rsidRPr="001345BC">
              <w:rPr>
                <w:rFonts w:ascii="Verdana" w:hAnsi="Verdana"/>
                <w:sz w:val="20"/>
                <w:szCs w:val="20"/>
              </w:rPr>
              <w:t>Priprava in pregled pogodb z zunanjimi izvajalci</w:t>
            </w:r>
          </w:p>
        </w:tc>
        <w:tc>
          <w:tcPr>
            <w:tcW w:w="5528" w:type="dxa"/>
            <w:hideMark/>
          </w:tcPr>
          <w:p w14:paraId="729F6B02" w14:textId="77777777" w:rsidR="00406A3D" w:rsidRPr="001345BC" w:rsidRDefault="00406A3D" w:rsidP="00406A3D">
            <w:pPr>
              <w:rPr>
                <w:rFonts w:ascii="Verdana" w:hAnsi="Verdana"/>
                <w:sz w:val="20"/>
                <w:szCs w:val="20"/>
              </w:rPr>
            </w:pPr>
            <w:r w:rsidRPr="001345BC">
              <w:rPr>
                <w:rFonts w:ascii="Verdana" w:hAnsi="Verdana"/>
                <w:sz w:val="20"/>
                <w:szCs w:val="20"/>
              </w:rPr>
              <w:t>Priprava oziroma pregled pogodb z zunanjimi izvajalci (prevajanje, najem opreme, opravljanje storitev – pošta, čiščenje, telefonija ipd.).</w:t>
            </w:r>
          </w:p>
        </w:tc>
      </w:tr>
      <w:tr w:rsidR="00406A3D" w:rsidRPr="001345BC" w14:paraId="5994AEE6" w14:textId="77777777" w:rsidTr="00E072DF">
        <w:trPr>
          <w:trHeight w:val="1020"/>
        </w:trPr>
        <w:tc>
          <w:tcPr>
            <w:tcW w:w="4537" w:type="dxa"/>
            <w:hideMark/>
          </w:tcPr>
          <w:p w14:paraId="6C3B14DE" w14:textId="77777777" w:rsidR="00406A3D" w:rsidRPr="001345BC" w:rsidRDefault="00406A3D" w:rsidP="00406A3D">
            <w:pPr>
              <w:rPr>
                <w:rFonts w:ascii="Verdana" w:hAnsi="Verdana"/>
                <w:sz w:val="20"/>
                <w:szCs w:val="20"/>
              </w:rPr>
            </w:pPr>
            <w:r w:rsidRPr="001345BC">
              <w:rPr>
                <w:rFonts w:ascii="Verdana" w:hAnsi="Verdana"/>
                <w:sz w:val="20"/>
                <w:szCs w:val="20"/>
              </w:rPr>
              <w:t>Sprejem in oddaja pošte, evidentiranje dokumentov</w:t>
            </w:r>
          </w:p>
        </w:tc>
        <w:tc>
          <w:tcPr>
            <w:tcW w:w="5528" w:type="dxa"/>
            <w:hideMark/>
          </w:tcPr>
          <w:p w14:paraId="319C7080" w14:textId="3597DEB6" w:rsidR="00406A3D" w:rsidRPr="001345BC" w:rsidRDefault="00406A3D" w:rsidP="00406A3D">
            <w:pPr>
              <w:rPr>
                <w:rFonts w:ascii="Verdana" w:hAnsi="Verdana"/>
                <w:sz w:val="20"/>
                <w:szCs w:val="20"/>
              </w:rPr>
            </w:pPr>
            <w:r w:rsidRPr="001345BC">
              <w:rPr>
                <w:rFonts w:ascii="Verdana" w:hAnsi="Verdana"/>
                <w:sz w:val="20"/>
                <w:szCs w:val="20"/>
              </w:rPr>
              <w:t xml:space="preserve">Sprejem in oddaja pošte v fizični in elektronski obliki; </w:t>
            </w:r>
            <w:r w:rsidR="00CC73BC">
              <w:rPr>
                <w:rFonts w:ascii="Verdana" w:hAnsi="Verdana"/>
                <w:sz w:val="20"/>
                <w:szCs w:val="20"/>
              </w:rPr>
              <w:t>e</w:t>
            </w:r>
            <w:r w:rsidRPr="001345BC">
              <w:rPr>
                <w:rFonts w:ascii="Verdana" w:hAnsi="Verdana"/>
                <w:sz w:val="20"/>
                <w:szCs w:val="20"/>
              </w:rPr>
              <w:t>videntiranje, skeniranje dokumentov, skrb za dokumentarno gradivo, pomoč sodelavcem pri sledenju in iskanju dokumentov.</w:t>
            </w:r>
          </w:p>
        </w:tc>
      </w:tr>
      <w:tr w:rsidR="00406A3D" w:rsidRPr="001345BC" w14:paraId="2A3E53C1" w14:textId="77777777" w:rsidTr="00E072DF">
        <w:trPr>
          <w:trHeight w:val="510"/>
        </w:trPr>
        <w:tc>
          <w:tcPr>
            <w:tcW w:w="4537" w:type="dxa"/>
            <w:hideMark/>
          </w:tcPr>
          <w:p w14:paraId="38068393" w14:textId="77777777" w:rsidR="00406A3D" w:rsidRPr="001345BC" w:rsidRDefault="00406A3D" w:rsidP="00406A3D">
            <w:pPr>
              <w:rPr>
                <w:rFonts w:ascii="Verdana" w:hAnsi="Verdana"/>
                <w:sz w:val="20"/>
                <w:szCs w:val="20"/>
              </w:rPr>
            </w:pPr>
            <w:r w:rsidRPr="001345BC">
              <w:rPr>
                <w:rFonts w:ascii="Verdana" w:hAnsi="Verdana"/>
                <w:sz w:val="20"/>
                <w:szCs w:val="20"/>
              </w:rPr>
              <w:t>Dajanje splošnih informacij z delovnega področja agencije</w:t>
            </w:r>
          </w:p>
        </w:tc>
        <w:tc>
          <w:tcPr>
            <w:tcW w:w="5528" w:type="dxa"/>
            <w:hideMark/>
          </w:tcPr>
          <w:p w14:paraId="6CF265F5" w14:textId="77777777" w:rsidR="00406A3D" w:rsidRPr="001345BC" w:rsidRDefault="00406A3D" w:rsidP="00406A3D">
            <w:pPr>
              <w:rPr>
                <w:rFonts w:ascii="Verdana" w:hAnsi="Verdana"/>
                <w:sz w:val="20"/>
                <w:szCs w:val="20"/>
              </w:rPr>
            </w:pPr>
            <w:r w:rsidRPr="001345BC">
              <w:rPr>
                <w:rFonts w:ascii="Verdana" w:hAnsi="Verdana"/>
                <w:sz w:val="20"/>
                <w:szCs w:val="20"/>
              </w:rPr>
              <w:t>Dajanje splošnih informacij in podatkov z delovnega področja agencije.</w:t>
            </w:r>
          </w:p>
        </w:tc>
      </w:tr>
      <w:tr w:rsidR="00406A3D" w:rsidRPr="001345BC" w14:paraId="461C2548" w14:textId="77777777" w:rsidTr="00E072DF">
        <w:trPr>
          <w:trHeight w:val="510"/>
        </w:trPr>
        <w:tc>
          <w:tcPr>
            <w:tcW w:w="4537" w:type="dxa"/>
            <w:hideMark/>
          </w:tcPr>
          <w:p w14:paraId="341FCE3C" w14:textId="77777777" w:rsidR="00406A3D" w:rsidRPr="001345BC" w:rsidRDefault="00406A3D" w:rsidP="00406A3D">
            <w:pPr>
              <w:rPr>
                <w:rFonts w:ascii="Verdana" w:hAnsi="Verdana"/>
                <w:sz w:val="20"/>
                <w:szCs w:val="20"/>
              </w:rPr>
            </w:pPr>
            <w:r w:rsidRPr="001345BC">
              <w:rPr>
                <w:rFonts w:ascii="Verdana" w:hAnsi="Verdana"/>
                <w:sz w:val="20"/>
                <w:szCs w:val="20"/>
              </w:rPr>
              <w:t>Organiziranje in koordiniranje poslovnih stikov</w:t>
            </w:r>
          </w:p>
        </w:tc>
        <w:tc>
          <w:tcPr>
            <w:tcW w:w="5528" w:type="dxa"/>
            <w:hideMark/>
          </w:tcPr>
          <w:p w14:paraId="43379356" w14:textId="77777777" w:rsidR="00406A3D" w:rsidRPr="001345BC" w:rsidRDefault="00406A3D" w:rsidP="00406A3D">
            <w:pPr>
              <w:rPr>
                <w:rFonts w:ascii="Verdana" w:hAnsi="Verdana"/>
                <w:sz w:val="20"/>
                <w:szCs w:val="20"/>
              </w:rPr>
            </w:pPr>
            <w:r w:rsidRPr="001345BC">
              <w:rPr>
                <w:rFonts w:ascii="Verdana" w:hAnsi="Verdana"/>
                <w:sz w:val="20"/>
                <w:szCs w:val="20"/>
              </w:rPr>
              <w:t>Organiziranje in koordiniranje poslovnih stikov, pošiljanje vabil na seje in sestanke.</w:t>
            </w:r>
          </w:p>
        </w:tc>
      </w:tr>
      <w:tr w:rsidR="00406A3D" w:rsidRPr="001345BC" w14:paraId="1EFE5B42" w14:textId="77777777" w:rsidTr="00E072DF">
        <w:trPr>
          <w:trHeight w:val="510"/>
        </w:trPr>
        <w:tc>
          <w:tcPr>
            <w:tcW w:w="4537" w:type="dxa"/>
            <w:hideMark/>
          </w:tcPr>
          <w:p w14:paraId="40CF093B" w14:textId="77777777" w:rsidR="00406A3D" w:rsidRPr="001345BC" w:rsidRDefault="00406A3D" w:rsidP="00406A3D">
            <w:pPr>
              <w:rPr>
                <w:rFonts w:ascii="Verdana" w:hAnsi="Verdana"/>
                <w:sz w:val="20"/>
                <w:szCs w:val="20"/>
              </w:rPr>
            </w:pPr>
            <w:r w:rsidRPr="001345BC">
              <w:rPr>
                <w:rFonts w:ascii="Verdana" w:hAnsi="Verdana"/>
                <w:sz w:val="20"/>
                <w:szCs w:val="20"/>
              </w:rPr>
              <w:t>Izdelava in izpolnjevanje dokumentov</w:t>
            </w:r>
          </w:p>
        </w:tc>
        <w:tc>
          <w:tcPr>
            <w:tcW w:w="5528" w:type="dxa"/>
            <w:hideMark/>
          </w:tcPr>
          <w:p w14:paraId="61A2009C" w14:textId="1E47C582" w:rsidR="00406A3D" w:rsidRPr="001345BC" w:rsidRDefault="00406A3D" w:rsidP="00406A3D">
            <w:pPr>
              <w:rPr>
                <w:rFonts w:ascii="Verdana" w:hAnsi="Verdana"/>
                <w:sz w:val="20"/>
                <w:szCs w:val="20"/>
              </w:rPr>
            </w:pPr>
            <w:r w:rsidRPr="001345BC">
              <w:rPr>
                <w:rFonts w:ascii="Verdana" w:hAnsi="Verdana"/>
                <w:sz w:val="20"/>
                <w:szCs w:val="20"/>
              </w:rPr>
              <w:t>Napotnice za zdravniške preglede, naročilnice za blago in storitve ipd.</w:t>
            </w:r>
          </w:p>
        </w:tc>
      </w:tr>
      <w:tr w:rsidR="00406A3D" w:rsidRPr="001345BC" w14:paraId="0E18A0C5" w14:textId="77777777" w:rsidTr="00E072DF">
        <w:trPr>
          <w:trHeight w:val="765"/>
        </w:trPr>
        <w:tc>
          <w:tcPr>
            <w:tcW w:w="4537" w:type="dxa"/>
            <w:hideMark/>
          </w:tcPr>
          <w:p w14:paraId="1EFFACC0" w14:textId="77777777" w:rsidR="00406A3D" w:rsidRPr="001345BC" w:rsidRDefault="00406A3D" w:rsidP="00406A3D">
            <w:pPr>
              <w:rPr>
                <w:rFonts w:ascii="Verdana" w:hAnsi="Verdana"/>
                <w:sz w:val="20"/>
                <w:szCs w:val="20"/>
              </w:rPr>
            </w:pPr>
            <w:r w:rsidRPr="001345BC">
              <w:rPr>
                <w:rFonts w:ascii="Verdana" w:hAnsi="Verdana"/>
                <w:sz w:val="20"/>
                <w:szCs w:val="20"/>
              </w:rPr>
              <w:t>Popis osnovnih sredstev</w:t>
            </w:r>
          </w:p>
        </w:tc>
        <w:tc>
          <w:tcPr>
            <w:tcW w:w="5528" w:type="dxa"/>
            <w:hideMark/>
          </w:tcPr>
          <w:p w14:paraId="5192F6F3" w14:textId="77777777" w:rsidR="00406A3D" w:rsidRPr="001345BC" w:rsidRDefault="00406A3D" w:rsidP="00406A3D">
            <w:pPr>
              <w:rPr>
                <w:rFonts w:ascii="Verdana" w:hAnsi="Verdana"/>
                <w:sz w:val="20"/>
                <w:szCs w:val="20"/>
              </w:rPr>
            </w:pPr>
            <w:r w:rsidRPr="001345BC">
              <w:rPr>
                <w:rFonts w:ascii="Verdana" w:hAnsi="Verdana"/>
                <w:sz w:val="20"/>
                <w:szCs w:val="20"/>
              </w:rPr>
              <w:t xml:space="preserve">Imenovanje delovne skupine, popis osnovni sredstev agencije, priprava dokumentov in sporočanje podatkov na MF. </w:t>
            </w:r>
          </w:p>
        </w:tc>
      </w:tr>
      <w:tr w:rsidR="00406A3D" w:rsidRPr="001345BC" w14:paraId="26AC328A" w14:textId="77777777" w:rsidTr="00E072DF">
        <w:trPr>
          <w:trHeight w:val="765"/>
        </w:trPr>
        <w:tc>
          <w:tcPr>
            <w:tcW w:w="4537" w:type="dxa"/>
            <w:hideMark/>
          </w:tcPr>
          <w:p w14:paraId="61DC6CE5" w14:textId="77777777" w:rsidR="00406A3D" w:rsidRPr="001345BC" w:rsidRDefault="00406A3D" w:rsidP="00406A3D">
            <w:pPr>
              <w:rPr>
                <w:rFonts w:ascii="Verdana" w:hAnsi="Verdana"/>
                <w:sz w:val="20"/>
                <w:szCs w:val="20"/>
              </w:rPr>
            </w:pPr>
            <w:r w:rsidRPr="001345BC">
              <w:rPr>
                <w:rFonts w:ascii="Verdana" w:hAnsi="Verdana"/>
                <w:sz w:val="20"/>
                <w:szCs w:val="20"/>
              </w:rPr>
              <w:t>Varnost in zdravje pri delu</w:t>
            </w:r>
          </w:p>
        </w:tc>
        <w:tc>
          <w:tcPr>
            <w:tcW w:w="5528" w:type="dxa"/>
            <w:hideMark/>
          </w:tcPr>
          <w:p w14:paraId="604A8A65" w14:textId="3F8574DB" w:rsidR="00406A3D" w:rsidRPr="001345BC" w:rsidRDefault="00406A3D" w:rsidP="00406A3D">
            <w:pPr>
              <w:rPr>
                <w:rFonts w:ascii="Verdana" w:hAnsi="Verdana"/>
                <w:sz w:val="20"/>
                <w:szCs w:val="20"/>
              </w:rPr>
            </w:pPr>
            <w:r w:rsidRPr="001345BC">
              <w:rPr>
                <w:rFonts w:ascii="Verdana" w:hAnsi="Verdana"/>
                <w:sz w:val="20"/>
                <w:szCs w:val="20"/>
              </w:rPr>
              <w:t>Sodelovanje z zunanjim izvajalcem za izvajanje aktivnosti varnosti in zdravja pri delu ter varstva pred požarom</w:t>
            </w:r>
            <w:r w:rsidR="00CC73BC">
              <w:rPr>
                <w:rFonts w:ascii="Verdana" w:hAnsi="Verdana"/>
                <w:sz w:val="20"/>
                <w:szCs w:val="20"/>
              </w:rPr>
              <w:t>.</w:t>
            </w:r>
          </w:p>
        </w:tc>
      </w:tr>
      <w:tr w:rsidR="00406A3D" w:rsidRPr="001345BC" w14:paraId="0A13BA66" w14:textId="77777777" w:rsidTr="00E072DF">
        <w:trPr>
          <w:trHeight w:val="255"/>
        </w:trPr>
        <w:tc>
          <w:tcPr>
            <w:tcW w:w="4537" w:type="dxa"/>
            <w:hideMark/>
          </w:tcPr>
          <w:p w14:paraId="371B968D" w14:textId="77777777" w:rsidR="00406A3D" w:rsidRPr="001345BC" w:rsidRDefault="00406A3D" w:rsidP="00406A3D">
            <w:pPr>
              <w:rPr>
                <w:rFonts w:ascii="Verdana" w:hAnsi="Verdana"/>
                <w:sz w:val="20"/>
                <w:szCs w:val="20"/>
              </w:rPr>
            </w:pPr>
            <w:r w:rsidRPr="001345BC">
              <w:rPr>
                <w:rFonts w:ascii="Verdana" w:hAnsi="Verdana"/>
                <w:sz w:val="20"/>
                <w:szCs w:val="20"/>
              </w:rPr>
              <w:t>Promocija zdravja</w:t>
            </w:r>
          </w:p>
        </w:tc>
        <w:tc>
          <w:tcPr>
            <w:tcW w:w="5528" w:type="dxa"/>
            <w:hideMark/>
          </w:tcPr>
          <w:p w14:paraId="386B5E77" w14:textId="77777777" w:rsidR="00406A3D" w:rsidRPr="001345BC" w:rsidRDefault="00406A3D" w:rsidP="00406A3D">
            <w:pPr>
              <w:rPr>
                <w:rFonts w:ascii="Verdana" w:hAnsi="Verdana"/>
                <w:sz w:val="20"/>
                <w:szCs w:val="20"/>
              </w:rPr>
            </w:pPr>
            <w:r w:rsidRPr="001345BC">
              <w:rPr>
                <w:rFonts w:ascii="Verdana" w:hAnsi="Verdana"/>
                <w:sz w:val="20"/>
                <w:szCs w:val="20"/>
              </w:rPr>
              <w:t>Analiza potreb in skrb za zdravo delovno okolje.</w:t>
            </w:r>
          </w:p>
        </w:tc>
      </w:tr>
      <w:tr w:rsidR="00406A3D" w:rsidRPr="001345BC" w14:paraId="66BCECC4" w14:textId="77777777" w:rsidTr="00E072DF">
        <w:trPr>
          <w:trHeight w:val="255"/>
        </w:trPr>
        <w:tc>
          <w:tcPr>
            <w:tcW w:w="4537" w:type="dxa"/>
            <w:hideMark/>
          </w:tcPr>
          <w:p w14:paraId="31E29341" w14:textId="77777777" w:rsidR="00406A3D" w:rsidRPr="001345BC" w:rsidRDefault="00406A3D" w:rsidP="00406A3D">
            <w:pPr>
              <w:rPr>
                <w:rFonts w:ascii="Verdana" w:hAnsi="Verdana"/>
                <w:sz w:val="20"/>
                <w:szCs w:val="20"/>
              </w:rPr>
            </w:pPr>
            <w:r w:rsidRPr="001345BC">
              <w:rPr>
                <w:rFonts w:ascii="Verdana" w:hAnsi="Verdana"/>
                <w:sz w:val="20"/>
                <w:szCs w:val="20"/>
              </w:rPr>
              <w:lastRenderedPageBreak/>
              <w:t>Načrt integritete</w:t>
            </w:r>
          </w:p>
        </w:tc>
        <w:tc>
          <w:tcPr>
            <w:tcW w:w="5528" w:type="dxa"/>
            <w:hideMark/>
          </w:tcPr>
          <w:p w14:paraId="5C37E0EE" w14:textId="77777777" w:rsidR="00406A3D" w:rsidRPr="001345BC" w:rsidRDefault="00406A3D" w:rsidP="00406A3D">
            <w:pPr>
              <w:rPr>
                <w:rFonts w:ascii="Verdana" w:hAnsi="Verdana"/>
                <w:sz w:val="20"/>
                <w:szCs w:val="20"/>
              </w:rPr>
            </w:pPr>
            <w:r w:rsidRPr="001345BC">
              <w:rPr>
                <w:rFonts w:ascii="Verdana" w:hAnsi="Verdana"/>
                <w:sz w:val="20"/>
                <w:szCs w:val="20"/>
              </w:rPr>
              <w:t>Priprava in spremljanje izvajanja načrta integritete.</w:t>
            </w:r>
          </w:p>
        </w:tc>
      </w:tr>
      <w:tr w:rsidR="00406A3D" w:rsidRPr="001345BC" w14:paraId="26604005" w14:textId="77777777" w:rsidTr="00E072DF">
        <w:trPr>
          <w:trHeight w:val="510"/>
        </w:trPr>
        <w:tc>
          <w:tcPr>
            <w:tcW w:w="4537" w:type="dxa"/>
            <w:hideMark/>
          </w:tcPr>
          <w:p w14:paraId="78D40107" w14:textId="77777777" w:rsidR="00406A3D" w:rsidRPr="001345BC" w:rsidRDefault="00406A3D" w:rsidP="00406A3D">
            <w:pPr>
              <w:rPr>
                <w:rFonts w:ascii="Verdana" w:hAnsi="Verdana"/>
                <w:sz w:val="20"/>
                <w:szCs w:val="20"/>
              </w:rPr>
            </w:pPr>
            <w:r w:rsidRPr="001345BC">
              <w:rPr>
                <w:rFonts w:ascii="Verdana" w:hAnsi="Verdana"/>
                <w:sz w:val="20"/>
                <w:szCs w:val="20"/>
              </w:rPr>
              <w:t>Organiziranje izobraževanja zaposlenih z zunanjimi izvajalci</w:t>
            </w:r>
          </w:p>
        </w:tc>
        <w:tc>
          <w:tcPr>
            <w:tcW w:w="5528" w:type="dxa"/>
            <w:hideMark/>
          </w:tcPr>
          <w:p w14:paraId="783863F9" w14:textId="77777777" w:rsidR="00406A3D" w:rsidRPr="001345BC" w:rsidRDefault="00406A3D" w:rsidP="00406A3D">
            <w:pPr>
              <w:rPr>
                <w:rFonts w:ascii="Verdana" w:hAnsi="Verdana"/>
                <w:sz w:val="20"/>
                <w:szCs w:val="20"/>
              </w:rPr>
            </w:pPr>
            <w:r w:rsidRPr="001345BC">
              <w:rPr>
                <w:rFonts w:ascii="Verdana" w:hAnsi="Verdana"/>
                <w:sz w:val="20"/>
                <w:szCs w:val="20"/>
              </w:rPr>
              <w:t>Spremljanje potreb in organiziranje izobraževanja in seminarjev za zaposlene.</w:t>
            </w:r>
          </w:p>
        </w:tc>
      </w:tr>
      <w:tr w:rsidR="00406A3D" w:rsidRPr="001345BC" w14:paraId="60604496" w14:textId="77777777" w:rsidTr="00E072DF">
        <w:trPr>
          <w:trHeight w:val="255"/>
        </w:trPr>
        <w:tc>
          <w:tcPr>
            <w:tcW w:w="10065" w:type="dxa"/>
            <w:gridSpan w:val="2"/>
            <w:shd w:val="clear" w:color="auto" w:fill="E5B8B7" w:themeFill="accent2" w:themeFillTint="66"/>
            <w:hideMark/>
          </w:tcPr>
          <w:p w14:paraId="5584BD55" w14:textId="77777777" w:rsidR="00406A3D" w:rsidRPr="001345BC" w:rsidRDefault="00406A3D" w:rsidP="00406A3D">
            <w:pPr>
              <w:rPr>
                <w:rFonts w:ascii="Verdana" w:hAnsi="Verdana"/>
                <w:b/>
                <w:bCs/>
                <w:sz w:val="20"/>
                <w:szCs w:val="20"/>
              </w:rPr>
            </w:pPr>
            <w:r w:rsidRPr="001345BC">
              <w:rPr>
                <w:rFonts w:ascii="Verdana" w:hAnsi="Verdana"/>
                <w:b/>
                <w:bCs/>
                <w:sz w:val="20"/>
                <w:szCs w:val="20"/>
              </w:rPr>
              <w:t xml:space="preserve">7. Vodenje in posodabljanje evidenc agencije  </w:t>
            </w:r>
          </w:p>
        </w:tc>
      </w:tr>
      <w:tr w:rsidR="00406A3D" w:rsidRPr="001345BC" w14:paraId="64DE975F" w14:textId="77777777" w:rsidTr="00E072DF">
        <w:trPr>
          <w:trHeight w:val="510"/>
        </w:trPr>
        <w:tc>
          <w:tcPr>
            <w:tcW w:w="4537" w:type="dxa"/>
            <w:hideMark/>
          </w:tcPr>
          <w:p w14:paraId="68341F1B" w14:textId="77777777" w:rsidR="00406A3D" w:rsidRPr="001345BC" w:rsidRDefault="00406A3D" w:rsidP="00406A3D">
            <w:pPr>
              <w:rPr>
                <w:rFonts w:ascii="Verdana" w:hAnsi="Verdana"/>
                <w:sz w:val="20"/>
                <w:szCs w:val="20"/>
              </w:rPr>
            </w:pPr>
            <w:r w:rsidRPr="001345BC">
              <w:rPr>
                <w:rFonts w:ascii="Verdana" w:hAnsi="Verdana"/>
                <w:sz w:val="20"/>
                <w:szCs w:val="20"/>
              </w:rPr>
              <w:t>Evidence obdelave osebnih podatkov</w:t>
            </w:r>
          </w:p>
        </w:tc>
        <w:tc>
          <w:tcPr>
            <w:tcW w:w="5528" w:type="dxa"/>
            <w:hideMark/>
          </w:tcPr>
          <w:p w14:paraId="329A4F3D" w14:textId="77777777" w:rsidR="00406A3D" w:rsidRPr="001345BC" w:rsidRDefault="00406A3D" w:rsidP="00406A3D">
            <w:pPr>
              <w:rPr>
                <w:rFonts w:ascii="Verdana" w:hAnsi="Verdana"/>
                <w:sz w:val="20"/>
                <w:szCs w:val="20"/>
              </w:rPr>
            </w:pPr>
            <w:r w:rsidRPr="001345BC">
              <w:rPr>
                <w:rFonts w:ascii="Verdana" w:hAnsi="Verdana"/>
                <w:sz w:val="20"/>
                <w:szCs w:val="20"/>
              </w:rPr>
              <w:t>Vzpostavitev in posodabljanje evidenc obdelave osebnih podatkov.</w:t>
            </w:r>
          </w:p>
        </w:tc>
      </w:tr>
      <w:tr w:rsidR="00406A3D" w:rsidRPr="001345BC" w14:paraId="43DB8B41" w14:textId="77777777" w:rsidTr="00E072DF">
        <w:trPr>
          <w:trHeight w:val="1020"/>
        </w:trPr>
        <w:tc>
          <w:tcPr>
            <w:tcW w:w="4537" w:type="dxa"/>
            <w:hideMark/>
          </w:tcPr>
          <w:p w14:paraId="4A620AE7" w14:textId="77777777" w:rsidR="00406A3D" w:rsidRPr="001345BC" w:rsidRDefault="00406A3D" w:rsidP="00406A3D">
            <w:pPr>
              <w:rPr>
                <w:rFonts w:ascii="Verdana" w:hAnsi="Verdana"/>
                <w:sz w:val="20"/>
                <w:szCs w:val="20"/>
              </w:rPr>
            </w:pPr>
            <w:r w:rsidRPr="001345BC">
              <w:rPr>
                <w:rFonts w:ascii="Verdana" w:hAnsi="Verdana"/>
                <w:sz w:val="20"/>
                <w:szCs w:val="20"/>
              </w:rPr>
              <w:t>Vodenje finančne dokumentacije</w:t>
            </w:r>
          </w:p>
        </w:tc>
        <w:tc>
          <w:tcPr>
            <w:tcW w:w="5528" w:type="dxa"/>
            <w:hideMark/>
          </w:tcPr>
          <w:p w14:paraId="2E490F45" w14:textId="4270DA74" w:rsidR="00406A3D" w:rsidRPr="001345BC" w:rsidRDefault="00406A3D" w:rsidP="00406A3D">
            <w:pPr>
              <w:rPr>
                <w:rFonts w:ascii="Verdana" w:hAnsi="Verdana"/>
                <w:sz w:val="20"/>
                <w:szCs w:val="20"/>
              </w:rPr>
            </w:pPr>
            <w:r w:rsidRPr="001345BC">
              <w:rPr>
                <w:rFonts w:ascii="Verdana" w:hAnsi="Verdana"/>
                <w:sz w:val="20"/>
                <w:szCs w:val="20"/>
              </w:rPr>
              <w:t xml:space="preserve">Evidenca sklenjenih pogodb, evidenca potnih nalogov, avtorskih pogodb, poslovnih partnerjev, osnovnih sredstev, o uporabi službenih telefonov, evidence izplačil idr. </w:t>
            </w:r>
          </w:p>
        </w:tc>
      </w:tr>
      <w:tr w:rsidR="00406A3D" w:rsidRPr="001345BC" w14:paraId="7CA99C6B" w14:textId="77777777" w:rsidTr="00E072DF">
        <w:trPr>
          <w:trHeight w:val="1530"/>
        </w:trPr>
        <w:tc>
          <w:tcPr>
            <w:tcW w:w="4537" w:type="dxa"/>
            <w:hideMark/>
          </w:tcPr>
          <w:p w14:paraId="587A1780" w14:textId="77777777" w:rsidR="00406A3D" w:rsidRPr="001345BC" w:rsidRDefault="00406A3D" w:rsidP="00406A3D">
            <w:pPr>
              <w:rPr>
                <w:rFonts w:ascii="Verdana" w:hAnsi="Verdana"/>
                <w:sz w:val="20"/>
                <w:szCs w:val="20"/>
              </w:rPr>
            </w:pPr>
            <w:r w:rsidRPr="001345BC">
              <w:rPr>
                <w:rFonts w:ascii="Verdana" w:hAnsi="Verdana"/>
                <w:sz w:val="20"/>
                <w:szCs w:val="20"/>
              </w:rPr>
              <w:t>Kadrovske evidence, evidence o članih sveta in pritožbene komisije</w:t>
            </w:r>
          </w:p>
        </w:tc>
        <w:tc>
          <w:tcPr>
            <w:tcW w:w="5528" w:type="dxa"/>
            <w:hideMark/>
          </w:tcPr>
          <w:p w14:paraId="5EE47000" w14:textId="77777777" w:rsidR="00406A3D" w:rsidRPr="001345BC" w:rsidRDefault="00406A3D" w:rsidP="00406A3D">
            <w:pPr>
              <w:rPr>
                <w:rFonts w:ascii="Verdana" w:hAnsi="Verdana"/>
                <w:sz w:val="20"/>
                <w:szCs w:val="20"/>
              </w:rPr>
            </w:pPr>
            <w:r w:rsidRPr="001345BC">
              <w:rPr>
                <w:rFonts w:ascii="Verdana" w:hAnsi="Verdana"/>
                <w:sz w:val="20"/>
                <w:szCs w:val="20"/>
              </w:rPr>
              <w:t xml:space="preserve">Evidenca prisotnosti zaposlenih, evidenca zdravniških pregledov, vodenje podatkov o zaposlenih v Mferac in personalnih mapah; priprava dopisov in pozivov v zvezi s </w:t>
            </w:r>
            <w:proofErr w:type="spellStart"/>
            <w:r w:rsidRPr="001345BC">
              <w:rPr>
                <w:rFonts w:ascii="Verdana" w:hAnsi="Verdana"/>
                <w:sz w:val="20"/>
                <w:szCs w:val="20"/>
              </w:rPr>
              <w:t>stausom</w:t>
            </w:r>
            <w:proofErr w:type="spellEnd"/>
            <w:r w:rsidRPr="001345BC">
              <w:rPr>
                <w:rFonts w:ascii="Verdana" w:hAnsi="Verdana"/>
                <w:sz w:val="20"/>
                <w:szCs w:val="20"/>
              </w:rPr>
              <w:t xml:space="preserve"> članov sveta agencije in pritožbene komisije, vodenje evidenc o članstvu in njegovem prenehanju.</w:t>
            </w:r>
          </w:p>
        </w:tc>
      </w:tr>
    </w:tbl>
    <w:p w14:paraId="11E2AEB5" w14:textId="77777777" w:rsidR="00406A3D" w:rsidRPr="001345BC" w:rsidRDefault="00406A3D" w:rsidP="00406A3D">
      <w:pPr>
        <w:rPr>
          <w:rFonts w:ascii="Verdana" w:hAnsi="Verdana"/>
          <w:sz w:val="20"/>
          <w:szCs w:val="20"/>
        </w:rPr>
      </w:pPr>
    </w:p>
    <w:p w14:paraId="7068710E" w14:textId="77777777" w:rsidR="00082164" w:rsidRPr="000E00CB" w:rsidRDefault="00082164" w:rsidP="00082164">
      <w:pPr>
        <w:spacing w:after="0"/>
        <w:jc w:val="both"/>
        <w:rPr>
          <w:rFonts w:ascii="Verdana" w:eastAsia="Times New Roman" w:hAnsi="Verdana"/>
          <w:color w:val="000000"/>
        </w:rPr>
      </w:pPr>
    </w:p>
    <w:p w14:paraId="71C62CBB" w14:textId="77777777" w:rsidR="00082164" w:rsidRPr="006E2B4C" w:rsidRDefault="00D577A1" w:rsidP="00A83BF0">
      <w:pPr>
        <w:pStyle w:val="Naslov2"/>
      </w:pPr>
      <w:bookmarkStart w:id="10" w:name="_Toc2157281"/>
      <w:r>
        <w:t>I.2</w:t>
      </w:r>
      <w:r w:rsidR="00082164" w:rsidRPr="006E2B4C">
        <w:t xml:space="preserve"> </w:t>
      </w:r>
      <w:bookmarkEnd w:id="2"/>
      <w:bookmarkEnd w:id="3"/>
      <w:r w:rsidR="00082164">
        <w:t xml:space="preserve">PRIPOROČILA ZA DELO AGENCIJE V TEM SAMOEVALVACIJSKEM OBDOBJU </w:t>
      </w:r>
      <w:r w:rsidR="00082164" w:rsidRPr="0076284C">
        <w:rPr>
          <w:sz w:val="20"/>
          <w:szCs w:val="20"/>
        </w:rPr>
        <w:t>(IZ SAMOEVALVACIJSKEGA POROČILA AGENCIJE ZA LETI 2016 in 2017 (SEP 2016-2017))</w:t>
      </w:r>
      <w:bookmarkEnd w:id="10"/>
    </w:p>
    <w:p w14:paraId="5AAEEB82" w14:textId="77777777" w:rsidR="00082164" w:rsidRPr="006E2B4C" w:rsidRDefault="00082164" w:rsidP="00082164">
      <w:pPr>
        <w:spacing w:after="0"/>
        <w:jc w:val="both"/>
        <w:rPr>
          <w:rFonts w:ascii="Verdana" w:eastAsia="Times New Roman" w:hAnsi="Verdana"/>
          <w:color w:val="000000"/>
        </w:rPr>
      </w:pPr>
      <w:r w:rsidRPr="006E2B4C">
        <w:rPr>
          <w:rFonts w:ascii="Verdana" w:eastAsia="Times New Roman" w:hAnsi="Verdana"/>
          <w:color w:val="000000"/>
        </w:rPr>
        <w:t xml:space="preserve">Priporočila za pripravo akcijskega načrta </w:t>
      </w:r>
      <w:r>
        <w:rPr>
          <w:rFonts w:ascii="Verdana" w:eastAsia="Times New Roman" w:hAnsi="Verdana"/>
          <w:color w:val="000000"/>
        </w:rPr>
        <w:t xml:space="preserve">in s tem povezanih letnih delovnih načrtov </w:t>
      </w:r>
      <w:r w:rsidRPr="006E2B4C">
        <w:rPr>
          <w:rFonts w:ascii="Verdana" w:eastAsia="Times New Roman" w:hAnsi="Verdana"/>
          <w:color w:val="000000"/>
        </w:rPr>
        <w:t xml:space="preserve">za </w:t>
      </w:r>
      <w:r>
        <w:rPr>
          <w:rFonts w:ascii="Verdana" w:eastAsia="Times New Roman" w:hAnsi="Verdana"/>
          <w:color w:val="000000"/>
        </w:rPr>
        <w:t>to</w:t>
      </w:r>
      <w:r w:rsidRPr="006E2B4C">
        <w:rPr>
          <w:rFonts w:ascii="Verdana" w:eastAsia="Times New Roman" w:hAnsi="Verdana"/>
          <w:color w:val="000000"/>
        </w:rPr>
        <w:t xml:space="preserve"> </w:t>
      </w:r>
      <w:r w:rsidRPr="00336B9C">
        <w:rPr>
          <w:rFonts w:ascii="Verdana" w:eastAsia="Times New Roman" w:hAnsi="Verdana"/>
          <w:b/>
          <w:color w:val="000000"/>
        </w:rPr>
        <w:t>samoevalvacijsko obdobje, ki traja od leta 2018 do leta 2019</w:t>
      </w:r>
      <w:r>
        <w:rPr>
          <w:rFonts w:ascii="Verdana" w:eastAsia="Times New Roman" w:hAnsi="Verdana"/>
          <w:color w:val="000000"/>
        </w:rPr>
        <w:t>, so</w:t>
      </w:r>
      <w:r w:rsidRPr="006E2B4C">
        <w:rPr>
          <w:rFonts w:ascii="Verdana" w:eastAsia="Times New Roman" w:hAnsi="Verdana"/>
          <w:color w:val="000000"/>
        </w:rPr>
        <w:t>:</w:t>
      </w:r>
    </w:p>
    <w:p w14:paraId="038DB186" w14:textId="77777777" w:rsidR="00082164" w:rsidRPr="006E2B4C" w:rsidRDefault="00082164" w:rsidP="00082164">
      <w:pPr>
        <w:spacing w:after="0"/>
        <w:jc w:val="both"/>
        <w:rPr>
          <w:rFonts w:ascii="Verdana" w:eastAsia="Times New Roman" w:hAnsi="Verdana"/>
          <w:color w:val="000000"/>
        </w:rPr>
      </w:pPr>
    </w:p>
    <w:p w14:paraId="6DE0063E" w14:textId="77777777" w:rsidR="00082164" w:rsidRDefault="00082164" w:rsidP="00082164">
      <w:pPr>
        <w:pStyle w:val="Odstavekseznama"/>
        <w:numPr>
          <w:ilvl w:val="0"/>
          <w:numId w:val="6"/>
        </w:numPr>
        <w:spacing w:after="120" w:line="240" w:lineRule="auto"/>
        <w:jc w:val="both"/>
        <w:rPr>
          <w:rFonts w:ascii="Verdana" w:hAnsi="Verdana"/>
        </w:rPr>
      </w:pPr>
      <w:r w:rsidRPr="006E2B4C">
        <w:rPr>
          <w:rFonts w:ascii="Verdana" w:hAnsi="Verdana"/>
        </w:rPr>
        <w:t>priprava na zunanjo evalvacijo agencije zaradi podaljšanja članstva v ENQA in vpisa v EQAR, zunanja presoja agencije in upoštevanje ugotovitev m</w:t>
      </w:r>
      <w:r>
        <w:rPr>
          <w:rFonts w:ascii="Verdana" w:hAnsi="Verdana"/>
        </w:rPr>
        <w:t>ednarodne skupine strokovnjakov;</w:t>
      </w:r>
    </w:p>
    <w:p w14:paraId="465C6AF0" w14:textId="77777777" w:rsidR="00082164" w:rsidRPr="006E2B4C" w:rsidRDefault="00082164" w:rsidP="00082164">
      <w:pPr>
        <w:pStyle w:val="Odstavekseznama"/>
        <w:spacing w:after="120" w:line="240" w:lineRule="auto"/>
        <w:jc w:val="both"/>
        <w:rPr>
          <w:rFonts w:ascii="Verdana" w:hAnsi="Verdana"/>
        </w:rPr>
      </w:pPr>
    </w:p>
    <w:p w14:paraId="627F611C" w14:textId="77777777" w:rsidR="00082164" w:rsidRDefault="00082164" w:rsidP="00082164">
      <w:pPr>
        <w:pStyle w:val="Odstavekseznama"/>
        <w:numPr>
          <w:ilvl w:val="0"/>
          <w:numId w:val="6"/>
        </w:numPr>
        <w:spacing w:after="120" w:line="240" w:lineRule="auto"/>
        <w:jc w:val="both"/>
        <w:rPr>
          <w:rFonts w:ascii="Verdana" w:hAnsi="Verdana"/>
        </w:rPr>
      </w:pPr>
      <w:r w:rsidRPr="006E2B4C">
        <w:rPr>
          <w:rFonts w:ascii="Verdana" w:hAnsi="Verdana"/>
        </w:rPr>
        <w:t>namestitev eNakvis v produkcijsko okolje (nadaljevanje sodelovanja z deležniki, pomoč pri izpolnjevanju elektronskih vlog oziroma njihovi uporabi v praksi, pomoč pri morebitnih nejasnostih pri tolmačenju določb o izpolnjevanju standardov kakovosti iz meril, vpeljava elektronskih vlog za šole... );</w:t>
      </w:r>
    </w:p>
    <w:p w14:paraId="4BBD6CE7" w14:textId="77777777" w:rsidR="00082164" w:rsidRPr="006E2B4C" w:rsidRDefault="00082164" w:rsidP="00082164">
      <w:pPr>
        <w:pStyle w:val="Odstavekseznama"/>
        <w:spacing w:after="120" w:line="240" w:lineRule="auto"/>
        <w:ind w:left="0"/>
        <w:jc w:val="both"/>
        <w:rPr>
          <w:rFonts w:ascii="Verdana" w:hAnsi="Verdana"/>
        </w:rPr>
      </w:pPr>
    </w:p>
    <w:p w14:paraId="3D07ABD1" w14:textId="77777777" w:rsidR="00082164" w:rsidRDefault="00082164" w:rsidP="00082164">
      <w:pPr>
        <w:pStyle w:val="Odstavekseznama"/>
        <w:numPr>
          <w:ilvl w:val="0"/>
          <w:numId w:val="6"/>
        </w:numPr>
        <w:spacing w:after="120" w:line="240" w:lineRule="auto"/>
        <w:jc w:val="both"/>
        <w:rPr>
          <w:rFonts w:ascii="Verdana" w:hAnsi="Verdana"/>
        </w:rPr>
      </w:pPr>
      <w:r w:rsidRPr="006E2B4C">
        <w:rPr>
          <w:rFonts w:ascii="Verdana" w:hAnsi="Verdana"/>
        </w:rPr>
        <w:t>priprava in izpeljava prvih vzorčnih evalvacij študijskih programov (najmanj 2 % akreditiranih študijskih programov na leto);</w:t>
      </w:r>
    </w:p>
    <w:p w14:paraId="6A5738DB" w14:textId="77777777" w:rsidR="00082164" w:rsidRDefault="00082164" w:rsidP="00082164">
      <w:pPr>
        <w:pStyle w:val="Odstavekseznama"/>
        <w:rPr>
          <w:rFonts w:ascii="Verdana" w:hAnsi="Verdana"/>
        </w:rPr>
      </w:pPr>
    </w:p>
    <w:p w14:paraId="2F2D11C9" w14:textId="77777777" w:rsidR="00082164" w:rsidRDefault="00082164" w:rsidP="00082164">
      <w:pPr>
        <w:pStyle w:val="Odstavekseznama"/>
        <w:numPr>
          <w:ilvl w:val="0"/>
          <w:numId w:val="6"/>
        </w:numPr>
        <w:spacing w:after="120" w:line="240" w:lineRule="auto"/>
        <w:jc w:val="both"/>
        <w:rPr>
          <w:rFonts w:ascii="Verdana" w:hAnsi="Verdana"/>
        </w:rPr>
      </w:pPr>
      <w:r w:rsidRPr="006E2B4C">
        <w:rPr>
          <w:rFonts w:ascii="Verdana" w:hAnsi="Verdana"/>
        </w:rPr>
        <w:t>reorganizacija dela na agenciji, določitev pristojnosti in odgovornosti strokovnih delavcev ob upoštevanju spremenjenega zunanjega sistema kakovosti oziroma novih nalog, ki jih je agenciji določil ZViS-K (tudi vodenje »razvida« zavodov/šol in študijskih programov, drugih evidenc ter zagotavljanje podatkov za eVŠ;</w:t>
      </w:r>
    </w:p>
    <w:p w14:paraId="6F1018E5" w14:textId="77777777" w:rsidR="00082164" w:rsidRPr="006E2B4C" w:rsidRDefault="00082164" w:rsidP="00082164">
      <w:pPr>
        <w:pStyle w:val="Odstavekseznama"/>
        <w:spacing w:after="120" w:line="240" w:lineRule="auto"/>
        <w:ind w:left="0"/>
        <w:jc w:val="both"/>
        <w:rPr>
          <w:rFonts w:ascii="Verdana" w:hAnsi="Verdana"/>
        </w:rPr>
      </w:pPr>
    </w:p>
    <w:p w14:paraId="5797F0F7" w14:textId="77777777" w:rsidR="00082164" w:rsidRDefault="00082164" w:rsidP="00082164">
      <w:pPr>
        <w:pStyle w:val="Odstavekseznama"/>
        <w:numPr>
          <w:ilvl w:val="0"/>
          <w:numId w:val="6"/>
        </w:numPr>
        <w:spacing w:after="120" w:line="240" w:lineRule="auto"/>
        <w:jc w:val="both"/>
        <w:rPr>
          <w:rFonts w:ascii="Verdana" w:hAnsi="Verdana"/>
        </w:rPr>
      </w:pPr>
      <w:r w:rsidRPr="006E2B4C">
        <w:rPr>
          <w:rFonts w:ascii="Verdana" w:hAnsi="Verdana"/>
        </w:rPr>
        <w:t>prenova priročnika za strokovnjake ali priprava drugega dokumenta s poudarkom na razvoju konceptualnih izhodišč kakovosti študija, pedagoškega dela in raziskovanja ter njenega presojanja;</w:t>
      </w:r>
    </w:p>
    <w:p w14:paraId="7B042398" w14:textId="77777777" w:rsidR="00082164" w:rsidRPr="006E2B4C" w:rsidRDefault="00082164" w:rsidP="00082164">
      <w:pPr>
        <w:pStyle w:val="Odstavekseznama"/>
        <w:spacing w:after="120" w:line="240" w:lineRule="auto"/>
        <w:ind w:left="0"/>
        <w:jc w:val="both"/>
        <w:rPr>
          <w:rFonts w:ascii="Verdana" w:hAnsi="Verdana"/>
        </w:rPr>
      </w:pPr>
    </w:p>
    <w:p w14:paraId="68D685B0" w14:textId="77777777" w:rsidR="00082164" w:rsidRDefault="00082164" w:rsidP="00082164">
      <w:pPr>
        <w:pStyle w:val="Odstavekseznama"/>
        <w:numPr>
          <w:ilvl w:val="0"/>
          <w:numId w:val="6"/>
        </w:numPr>
        <w:spacing w:after="120" w:line="240" w:lineRule="auto"/>
        <w:jc w:val="both"/>
        <w:rPr>
          <w:rFonts w:ascii="Verdana" w:hAnsi="Verdana"/>
        </w:rPr>
      </w:pPr>
      <w:r w:rsidRPr="006E2B4C">
        <w:rPr>
          <w:rFonts w:ascii="Verdana" w:hAnsi="Verdana"/>
        </w:rPr>
        <w:lastRenderedPageBreak/>
        <w:t>prenova protokola obiska zavodov/šol;</w:t>
      </w:r>
    </w:p>
    <w:p w14:paraId="08D39A5E" w14:textId="77777777" w:rsidR="00082164" w:rsidRPr="006E2B4C" w:rsidRDefault="00082164" w:rsidP="00082164">
      <w:pPr>
        <w:pStyle w:val="Odstavekseznama"/>
        <w:spacing w:after="120" w:line="240" w:lineRule="auto"/>
        <w:ind w:left="0"/>
        <w:jc w:val="both"/>
        <w:rPr>
          <w:rFonts w:ascii="Verdana" w:hAnsi="Verdana"/>
        </w:rPr>
      </w:pPr>
    </w:p>
    <w:p w14:paraId="38D5AB11" w14:textId="77777777" w:rsidR="00082164" w:rsidRPr="006E2B4C" w:rsidRDefault="00082164" w:rsidP="00082164">
      <w:pPr>
        <w:pStyle w:val="Odstavekseznama"/>
        <w:numPr>
          <w:ilvl w:val="0"/>
          <w:numId w:val="6"/>
        </w:numPr>
        <w:spacing w:after="120" w:line="240" w:lineRule="auto"/>
        <w:jc w:val="both"/>
        <w:rPr>
          <w:rFonts w:ascii="Verdana" w:hAnsi="Verdana"/>
        </w:rPr>
      </w:pPr>
      <w:r w:rsidRPr="006E2B4C">
        <w:rPr>
          <w:rFonts w:ascii="Verdana" w:hAnsi="Verdana"/>
        </w:rPr>
        <w:t xml:space="preserve">izobraževanje kandidatov za strokovnjake agencije v skladu z novimi merili; </w:t>
      </w:r>
    </w:p>
    <w:p w14:paraId="78107760" w14:textId="77777777" w:rsidR="00082164" w:rsidRPr="006E2B4C" w:rsidRDefault="00082164" w:rsidP="00082164">
      <w:pPr>
        <w:pStyle w:val="Odstavekseznama"/>
        <w:spacing w:after="120" w:line="240" w:lineRule="auto"/>
        <w:jc w:val="both"/>
        <w:rPr>
          <w:rFonts w:ascii="Verdana" w:hAnsi="Verdana"/>
        </w:rPr>
      </w:pPr>
    </w:p>
    <w:p w14:paraId="2AC093AA" w14:textId="77777777" w:rsidR="00082164" w:rsidRPr="00ED1FBC" w:rsidRDefault="00082164" w:rsidP="00082164">
      <w:pPr>
        <w:pStyle w:val="Odstavekseznama"/>
        <w:numPr>
          <w:ilvl w:val="0"/>
          <w:numId w:val="6"/>
        </w:numPr>
        <w:spacing w:after="120" w:line="240" w:lineRule="auto"/>
        <w:jc w:val="both"/>
        <w:rPr>
          <w:rFonts w:ascii="Verdana" w:hAnsi="Verdana"/>
        </w:rPr>
      </w:pPr>
      <w:r w:rsidRPr="006E2B4C">
        <w:rPr>
          <w:rFonts w:ascii="Verdana" w:hAnsi="Verdana"/>
        </w:rPr>
        <w:t>ohranjanje in izboljševanje strokovnosti dela agencije: nadaljevanje posvetov in delavnic v zvezi s presojanjem in odločanjem po novih merilih;</w:t>
      </w:r>
    </w:p>
    <w:p w14:paraId="38EDA8EA" w14:textId="77777777" w:rsidR="00082164" w:rsidRPr="00ED1FBC" w:rsidRDefault="00082164" w:rsidP="00082164">
      <w:pPr>
        <w:pStyle w:val="Odstavekseznama"/>
        <w:spacing w:after="120" w:line="240" w:lineRule="auto"/>
        <w:jc w:val="both"/>
        <w:rPr>
          <w:rFonts w:ascii="Verdana" w:hAnsi="Verdana"/>
        </w:rPr>
      </w:pPr>
    </w:p>
    <w:p w14:paraId="1075EFC7" w14:textId="77777777" w:rsidR="00082164" w:rsidRPr="00ED1FBC" w:rsidRDefault="00082164" w:rsidP="00082164">
      <w:pPr>
        <w:pStyle w:val="Odstavekseznama"/>
        <w:numPr>
          <w:ilvl w:val="0"/>
          <w:numId w:val="6"/>
        </w:numPr>
        <w:spacing w:after="120" w:line="240" w:lineRule="auto"/>
        <w:jc w:val="both"/>
        <w:rPr>
          <w:rFonts w:ascii="Verdana" w:hAnsi="Verdana"/>
        </w:rPr>
      </w:pPr>
      <w:r w:rsidRPr="006E2B4C">
        <w:rPr>
          <w:rFonts w:ascii="Verdana" w:hAnsi="Verdana"/>
        </w:rPr>
        <w:t xml:space="preserve">ureditev baz podatkov in izboljšanje obveščanja deležnikov. </w:t>
      </w:r>
    </w:p>
    <w:p w14:paraId="177C65CF" w14:textId="77777777" w:rsidR="00082164" w:rsidRDefault="00082164" w:rsidP="00082164">
      <w:pPr>
        <w:pStyle w:val="Odstavekseznama"/>
        <w:ind w:left="0"/>
        <w:jc w:val="both"/>
      </w:pPr>
    </w:p>
    <w:p w14:paraId="1A5A78BD" w14:textId="77777777" w:rsidR="009E14DD" w:rsidRDefault="00082164" w:rsidP="00082164">
      <w:pPr>
        <w:pStyle w:val="Odstavekseznama"/>
        <w:ind w:left="0"/>
        <w:jc w:val="both"/>
        <w:rPr>
          <w:rFonts w:ascii="Verdana" w:hAnsi="Verdana"/>
        </w:rPr>
      </w:pPr>
      <w:r w:rsidRPr="00750629">
        <w:rPr>
          <w:rFonts w:ascii="Verdana" w:hAnsi="Verdana"/>
        </w:rPr>
        <w:t>V letu 2018</w:t>
      </w:r>
      <w:r w:rsidR="00336B9C">
        <w:rPr>
          <w:rFonts w:ascii="Verdana" w:hAnsi="Verdana"/>
        </w:rPr>
        <w:t xml:space="preserve"> so bile </w:t>
      </w:r>
      <w:r w:rsidR="00336B9C" w:rsidRPr="00750629">
        <w:rPr>
          <w:rFonts w:ascii="Verdana" w:hAnsi="Verdana"/>
        </w:rPr>
        <w:t>nalog</w:t>
      </w:r>
      <w:r w:rsidR="00336B9C">
        <w:rPr>
          <w:rFonts w:ascii="Verdana" w:hAnsi="Verdana"/>
        </w:rPr>
        <w:t>e</w:t>
      </w:r>
      <w:r w:rsidR="00336B9C" w:rsidRPr="00750629">
        <w:rPr>
          <w:rFonts w:ascii="Verdana" w:hAnsi="Verdana"/>
        </w:rPr>
        <w:t>, povezan</w:t>
      </w:r>
      <w:r w:rsidR="00336B9C">
        <w:rPr>
          <w:rFonts w:ascii="Verdana" w:hAnsi="Verdana"/>
        </w:rPr>
        <w:t>e</w:t>
      </w:r>
      <w:r w:rsidR="00336B9C" w:rsidRPr="00750629">
        <w:rPr>
          <w:rFonts w:ascii="Verdana" w:hAnsi="Verdana"/>
        </w:rPr>
        <w:t xml:space="preserve"> s priporočili </w:t>
      </w:r>
      <w:r w:rsidR="00336B9C">
        <w:rPr>
          <w:rFonts w:ascii="Verdana" w:hAnsi="Verdana"/>
        </w:rPr>
        <w:t>v SEP 2016 in 2017:</w:t>
      </w:r>
      <w:r>
        <w:rPr>
          <w:rFonts w:ascii="Verdana" w:hAnsi="Verdana"/>
        </w:rPr>
        <w:t xml:space="preserve"> </w:t>
      </w:r>
    </w:p>
    <w:p w14:paraId="1BD6A987" w14:textId="77777777" w:rsidR="007110E3" w:rsidRDefault="00B7565B" w:rsidP="009E14DD">
      <w:pPr>
        <w:pStyle w:val="Odstavekseznama"/>
        <w:numPr>
          <w:ilvl w:val="0"/>
          <w:numId w:val="12"/>
        </w:numPr>
        <w:jc w:val="both"/>
        <w:rPr>
          <w:rFonts w:ascii="Verdana" w:hAnsi="Verdana"/>
        </w:rPr>
      </w:pPr>
      <w:r>
        <w:rPr>
          <w:rFonts w:ascii="Verdana" w:hAnsi="Verdana"/>
        </w:rPr>
        <w:t xml:space="preserve">v celoti ali delno </w:t>
      </w:r>
      <w:r w:rsidR="00082164" w:rsidRPr="00750629">
        <w:rPr>
          <w:rFonts w:ascii="Verdana" w:hAnsi="Verdana"/>
        </w:rPr>
        <w:t>že opravljen</w:t>
      </w:r>
      <w:r w:rsidR="005428AC">
        <w:rPr>
          <w:rFonts w:ascii="Verdana" w:hAnsi="Verdana"/>
        </w:rPr>
        <w:t>e</w:t>
      </w:r>
      <w:r w:rsidR="00082164">
        <w:rPr>
          <w:rFonts w:ascii="Verdana" w:hAnsi="Verdana"/>
        </w:rPr>
        <w:t>;</w:t>
      </w:r>
      <w:r w:rsidR="009E14DD">
        <w:rPr>
          <w:rFonts w:ascii="Verdana" w:hAnsi="Verdana"/>
        </w:rPr>
        <w:t xml:space="preserve"> </w:t>
      </w:r>
      <w:r w:rsidR="00336B9C">
        <w:rPr>
          <w:rFonts w:ascii="Verdana" w:hAnsi="Verdana"/>
        </w:rPr>
        <w:t>v skladu s</w:t>
      </w:r>
      <w:r>
        <w:rPr>
          <w:rFonts w:ascii="Verdana" w:hAnsi="Verdana"/>
        </w:rPr>
        <w:t xml:space="preserve"> priporočil</w:t>
      </w:r>
      <w:r w:rsidR="00336B9C">
        <w:rPr>
          <w:rFonts w:ascii="Verdana" w:hAnsi="Verdana"/>
        </w:rPr>
        <w:t>i</w:t>
      </w:r>
      <w:r>
        <w:rPr>
          <w:rFonts w:ascii="Verdana" w:hAnsi="Verdana"/>
        </w:rPr>
        <w:t xml:space="preserve"> pod točkami 1, 4</w:t>
      </w:r>
      <w:r w:rsidR="005428AC">
        <w:rPr>
          <w:rFonts w:ascii="Verdana" w:hAnsi="Verdana"/>
        </w:rPr>
        <w:t xml:space="preserve"> in</w:t>
      </w:r>
      <w:r>
        <w:rPr>
          <w:rFonts w:ascii="Verdana" w:hAnsi="Verdana"/>
        </w:rPr>
        <w:t xml:space="preserve"> 7;</w:t>
      </w:r>
    </w:p>
    <w:p w14:paraId="153262BB" w14:textId="77777777" w:rsidR="00D37B32" w:rsidRDefault="00336B9C" w:rsidP="00D37B32">
      <w:pPr>
        <w:pStyle w:val="Odstavekseznama"/>
        <w:numPr>
          <w:ilvl w:val="0"/>
          <w:numId w:val="12"/>
        </w:numPr>
        <w:jc w:val="both"/>
        <w:rPr>
          <w:rFonts w:ascii="Verdana" w:hAnsi="Verdana"/>
        </w:rPr>
      </w:pPr>
      <w:r>
        <w:rPr>
          <w:rFonts w:ascii="Verdana" w:hAnsi="Verdana"/>
        </w:rPr>
        <w:t>začete</w:t>
      </w:r>
      <w:r w:rsidR="00082164" w:rsidRPr="00750629">
        <w:rPr>
          <w:rFonts w:ascii="Verdana" w:hAnsi="Verdana"/>
        </w:rPr>
        <w:t xml:space="preserve"> in se bodo nadaljevale v letu 2019</w:t>
      </w:r>
      <w:r w:rsidR="00B7565B">
        <w:rPr>
          <w:rFonts w:ascii="Verdana" w:hAnsi="Verdana"/>
        </w:rPr>
        <w:t xml:space="preserve">: </w:t>
      </w:r>
      <w:r w:rsidR="005428AC">
        <w:rPr>
          <w:rFonts w:ascii="Verdana" w:hAnsi="Verdana"/>
        </w:rPr>
        <w:t xml:space="preserve">priporočila pod točkami 2, </w:t>
      </w:r>
      <w:r w:rsidR="00B7565B">
        <w:rPr>
          <w:rFonts w:ascii="Verdana" w:hAnsi="Verdana"/>
        </w:rPr>
        <w:t>3</w:t>
      </w:r>
      <w:r w:rsidR="005428AC">
        <w:rPr>
          <w:rFonts w:ascii="Verdana" w:hAnsi="Verdana"/>
        </w:rPr>
        <w:t>, 8 in 9</w:t>
      </w:r>
      <w:r w:rsidR="00D37B32">
        <w:rPr>
          <w:rFonts w:ascii="Verdana" w:hAnsi="Verdana"/>
        </w:rPr>
        <w:t>.</w:t>
      </w:r>
    </w:p>
    <w:p w14:paraId="49026CBC" w14:textId="0005C008" w:rsidR="007110E3" w:rsidRPr="00D37B32" w:rsidRDefault="00D37B32" w:rsidP="00D37B32">
      <w:pPr>
        <w:jc w:val="both"/>
        <w:rPr>
          <w:rFonts w:ascii="Verdana" w:hAnsi="Verdana"/>
        </w:rPr>
      </w:pPr>
      <w:r>
        <w:rPr>
          <w:rFonts w:ascii="Verdana" w:hAnsi="Verdana"/>
        </w:rPr>
        <w:t xml:space="preserve">Naloge </w:t>
      </w:r>
      <w:r w:rsidR="00CC73BC">
        <w:rPr>
          <w:rFonts w:ascii="Verdana" w:hAnsi="Verdana"/>
        </w:rPr>
        <w:t>v zvezi s</w:t>
      </w:r>
      <w:r>
        <w:rPr>
          <w:rFonts w:ascii="Verdana" w:hAnsi="Verdana"/>
        </w:rPr>
        <w:t xml:space="preserve"> priporočil</w:t>
      </w:r>
      <w:r w:rsidR="00CC73BC">
        <w:rPr>
          <w:rFonts w:ascii="Verdana" w:hAnsi="Verdana"/>
        </w:rPr>
        <w:t>i</w:t>
      </w:r>
      <w:r>
        <w:rPr>
          <w:rFonts w:ascii="Verdana" w:hAnsi="Verdana"/>
        </w:rPr>
        <w:t xml:space="preserve"> pod točkama 5 in 6</w:t>
      </w:r>
      <w:r w:rsidR="00B7565B" w:rsidRPr="00D37B32">
        <w:rPr>
          <w:rFonts w:ascii="Verdana" w:hAnsi="Verdana"/>
        </w:rPr>
        <w:t xml:space="preserve"> </w:t>
      </w:r>
      <w:r w:rsidR="007110E3" w:rsidRPr="00D37B32">
        <w:rPr>
          <w:rFonts w:ascii="Verdana" w:hAnsi="Verdana"/>
        </w:rPr>
        <w:t>se bodo začele v letu 2019 (</w:t>
      </w:r>
      <w:r w:rsidR="005428AC" w:rsidRPr="00D37B32">
        <w:rPr>
          <w:rFonts w:ascii="Verdana" w:hAnsi="Verdana"/>
        </w:rPr>
        <w:t xml:space="preserve">v skladu z </w:t>
      </w:r>
      <w:r w:rsidR="007110E3" w:rsidRPr="00D37B32">
        <w:rPr>
          <w:rFonts w:ascii="Verdana" w:hAnsi="Verdana"/>
        </w:rPr>
        <w:t>LDN 2019)</w:t>
      </w:r>
      <w:r w:rsidR="005428AC" w:rsidRPr="00D37B32">
        <w:rPr>
          <w:rFonts w:ascii="Verdana" w:hAnsi="Verdana"/>
        </w:rPr>
        <w:t>.</w:t>
      </w:r>
    </w:p>
    <w:p w14:paraId="7D12491A" w14:textId="77777777" w:rsidR="00663451" w:rsidRPr="00663451" w:rsidRDefault="00663451" w:rsidP="00663451">
      <w:pPr>
        <w:pStyle w:val="Odstavekseznama"/>
        <w:ind w:left="0"/>
        <w:jc w:val="both"/>
        <w:rPr>
          <w:rFonts w:ascii="Verdana" w:hAnsi="Verdana"/>
        </w:rPr>
      </w:pPr>
    </w:p>
    <w:p w14:paraId="418B5E5C" w14:textId="77777777" w:rsidR="009E14DD" w:rsidRDefault="00D577A1" w:rsidP="00A83BF0">
      <w:pPr>
        <w:pStyle w:val="Naslov2"/>
      </w:pPr>
      <w:bookmarkStart w:id="11" w:name="_Toc2157282"/>
      <w:r>
        <w:t>I.3</w:t>
      </w:r>
      <w:r w:rsidR="009E14DD" w:rsidRPr="009E14DD">
        <w:t xml:space="preserve"> PRIKAZ OPRAVLJENIH NALOG V LETU 2018</w:t>
      </w:r>
      <w:bookmarkEnd w:id="11"/>
    </w:p>
    <w:p w14:paraId="1AAFC943" w14:textId="77777777" w:rsidR="007505E2" w:rsidRDefault="00663451" w:rsidP="007110E3">
      <w:pPr>
        <w:spacing w:after="0"/>
        <w:jc w:val="both"/>
        <w:rPr>
          <w:rFonts w:ascii="Verdana" w:hAnsi="Verdana"/>
        </w:rPr>
      </w:pPr>
      <w:r>
        <w:rPr>
          <w:rFonts w:ascii="Verdana" w:hAnsi="Verdana"/>
        </w:rPr>
        <w:t>V</w:t>
      </w:r>
      <w:r w:rsidR="007110E3">
        <w:rPr>
          <w:rFonts w:ascii="Verdana" w:hAnsi="Verdana"/>
        </w:rPr>
        <w:t xml:space="preserve"> LDN</w:t>
      </w:r>
      <w:r w:rsidR="005428AC">
        <w:rPr>
          <w:rFonts w:ascii="Verdana" w:hAnsi="Verdana"/>
        </w:rPr>
        <w:t xml:space="preserve"> 2018</w:t>
      </w:r>
      <w:r>
        <w:rPr>
          <w:rFonts w:ascii="Verdana" w:hAnsi="Verdana"/>
        </w:rPr>
        <w:t xml:space="preserve"> so bile naloge agencije</w:t>
      </w:r>
      <w:r w:rsidR="007110E3">
        <w:rPr>
          <w:rFonts w:ascii="Verdana" w:hAnsi="Verdana"/>
        </w:rPr>
        <w:t xml:space="preserve"> prvič </w:t>
      </w:r>
      <w:r w:rsidR="00B74989">
        <w:rPr>
          <w:rFonts w:ascii="Verdana" w:hAnsi="Verdana"/>
        </w:rPr>
        <w:t xml:space="preserve">konkretno in jasno </w:t>
      </w:r>
      <w:r w:rsidR="007110E3">
        <w:rPr>
          <w:rFonts w:ascii="Verdana" w:hAnsi="Verdana"/>
        </w:rPr>
        <w:t>povezane s strateški</w:t>
      </w:r>
      <w:r w:rsidR="00B74989">
        <w:rPr>
          <w:rFonts w:ascii="Verdana" w:hAnsi="Verdana"/>
        </w:rPr>
        <w:t>mi</w:t>
      </w:r>
      <w:r w:rsidR="007110E3">
        <w:rPr>
          <w:rFonts w:ascii="Verdana" w:hAnsi="Verdana"/>
        </w:rPr>
        <w:t xml:space="preserve"> cilj</w:t>
      </w:r>
      <w:r w:rsidR="00B74989">
        <w:rPr>
          <w:rFonts w:ascii="Verdana" w:hAnsi="Verdana"/>
        </w:rPr>
        <w:t>i</w:t>
      </w:r>
      <w:r w:rsidR="007110E3">
        <w:rPr>
          <w:rFonts w:ascii="Verdana" w:hAnsi="Verdana"/>
        </w:rPr>
        <w:t xml:space="preserve"> agencije,</w:t>
      </w:r>
      <w:r w:rsidR="00B74989">
        <w:rPr>
          <w:rFonts w:ascii="Verdana" w:hAnsi="Verdana"/>
        </w:rPr>
        <w:t xml:space="preserve"> </w:t>
      </w:r>
      <w:r w:rsidR="007505E2">
        <w:rPr>
          <w:rFonts w:ascii="Verdana" w:hAnsi="Verdana"/>
        </w:rPr>
        <w:t xml:space="preserve">področji presoje po poslovniku kakovosti oziroma </w:t>
      </w:r>
      <w:r w:rsidR="007110E3">
        <w:rPr>
          <w:rFonts w:ascii="Verdana" w:hAnsi="Verdana"/>
        </w:rPr>
        <w:t>SEP</w:t>
      </w:r>
      <w:r w:rsidR="007505E2">
        <w:rPr>
          <w:rFonts w:ascii="Verdana" w:hAnsi="Verdana"/>
        </w:rPr>
        <w:t xml:space="preserve"> ter vrednotami agencije.</w:t>
      </w:r>
    </w:p>
    <w:p w14:paraId="64C8E102" w14:textId="77777777" w:rsidR="007505E2" w:rsidRDefault="007505E2" w:rsidP="007110E3">
      <w:pPr>
        <w:spacing w:after="0"/>
        <w:jc w:val="both"/>
        <w:rPr>
          <w:rFonts w:ascii="Verdana" w:hAnsi="Verdana"/>
        </w:rPr>
      </w:pPr>
    </w:p>
    <w:p w14:paraId="096D097C" w14:textId="77777777" w:rsidR="007110E3" w:rsidRDefault="007110E3" w:rsidP="007110E3">
      <w:pPr>
        <w:spacing w:after="0"/>
        <w:jc w:val="both"/>
        <w:rPr>
          <w:rFonts w:ascii="Verdana" w:hAnsi="Verdana"/>
        </w:rPr>
      </w:pPr>
      <w:r>
        <w:rPr>
          <w:rFonts w:ascii="Verdana" w:hAnsi="Verdana"/>
        </w:rPr>
        <w:t xml:space="preserve">K </w:t>
      </w:r>
      <w:r w:rsidR="00B74989">
        <w:rPr>
          <w:rFonts w:ascii="Verdana" w:hAnsi="Verdana"/>
        </w:rPr>
        <w:t>LDN</w:t>
      </w:r>
      <w:r>
        <w:rPr>
          <w:rFonts w:ascii="Verdana" w:hAnsi="Verdana"/>
        </w:rPr>
        <w:t xml:space="preserve"> 2018 je svet agencije dal soglasje na </w:t>
      </w:r>
      <w:r w:rsidR="00E07F6C">
        <w:rPr>
          <w:rFonts w:ascii="Verdana" w:hAnsi="Verdana"/>
        </w:rPr>
        <w:t>131.</w:t>
      </w:r>
      <w:r>
        <w:rPr>
          <w:rFonts w:ascii="Verdana" w:hAnsi="Verdana"/>
        </w:rPr>
        <w:t xml:space="preserve"> seji </w:t>
      </w:r>
      <w:r w:rsidR="00E07F6C">
        <w:rPr>
          <w:rFonts w:ascii="Verdana" w:hAnsi="Verdana"/>
        </w:rPr>
        <w:t>20</w:t>
      </w:r>
      <w:r w:rsidRPr="009977DD">
        <w:rPr>
          <w:rFonts w:ascii="Verdana" w:hAnsi="Verdana"/>
        </w:rPr>
        <w:t xml:space="preserve">. </w:t>
      </w:r>
      <w:r>
        <w:rPr>
          <w:rFonts w:ascii="Verdana" w:hAnsi="Verdana"/>
        </w:rPr>
        <w:t>septembra</w:t>
      </w:r>
      <w:r w:rsidRPr="009977DD">
        <w:rPr>
          <w:rFonts w:ascii="Verdana" w:hAnsi="Verdana"/>
        </w:rPr>
        <w:t xml:space="preserve"> 201</w:t>
      </w:r>
      <w:r>
        <w:rPr>
          <w:rFonts w:ascii="Verdana" w:hAnsi="Verdana"/>
        </w:rPr>
        <w:t>8</w:t>
      </w:r>
      <w:r w:rsidRPr="009977DD">
        <w:rPr>
          <w:rFonts w:ascii="Verdana" w:hAnsi="Verdana"/>
        </w:rPr>
        <w:t>.</w:t>
      </w:r>
    </w:p>
    <w:p w14:paraId="371181E9" w14:textId="77777777" w:rsidR="007110E3" w:rsidRDefault="007110E3" w:rsidP="007110E3">
      <w:pPr>
        <w:spacing w:after="0"/>
        <w:jc w:val="both"/>
        <w:rPr>
          <w:rFonts w:ascii="Verdana" w:hAnsi="Verdana"/>
        </w:rPr>
      </w:pPr>
      <w:r>
        <w:rPr>
          <w:rFonts w:ascii="Verdana" w:hAnsi="Verdana"/>
        </w:rPr>
        <w:t xml:space="preserve"> </w:t>
      </w:r>
    </w:p>
    <w:p w14:paraId="0E531FCB" w14:textId="00764777" w:rsidR="007110E3" w:rsidRDefault="007110E3" w:rsidP="00E82A26">
      <w:pPr>
        <w:spacing w:after="0"/>
        <w:jc w:val="both"/>
        <w:rPr>
          <w:rFonts w:ascii="Verdana" w:hAnsi="Verdana"/>
        </w:rPr>
      </w:pPr>
      <w:r w:rsidRPr="00FC4F2F">
        <w:rPr>
          <w:rFonts w:ascii="Verdana" w:hAnsi="Verdana"/>
        </w:rPr>
        <w:t xml:space="preserve">V </w:t>
      </w:r>
      <w:r>
        <w:rPr>
          <w:rFonts w:ascii="Verdana" w:hAnsi="Verdana"/>
        </w:rPr>
        <w:t>P</w:t>
      </w:r>
      <w:r w:rsidRPr="00FC4F2F">
        <w:rPr>
          <w:rFonts w:ascii="Verdana" w:hAnsi="Verdana"/>
        </w:rPr>
        <w:t>oročilu o delu</w:t>
      </w:r>
      <w:r>
        <w:rPr>
          <w:rFonts w:ascii="Verdana" w:hAnsi="Verdana"/>
        </w:rPr>
        <w:t xml:space="preserve"> in poslovanju agencije v letu 2018</w:t>
      </w:r>
      <w:r w:rsidRPr="00FC4F2F">
        <w:rPr>
          <w:rFonts w:ascii="Verdana" w:hAnsi="Verdana"/>
        </w:rPr>
        <w:t xml:space="preserve"> je uresničevanje nalog</w:t>
      </w:r>
      <w:r w:rsidR="00D37B32">
        <w:rPr>
          <w:rFonts w:ascii="Verdana" w:hAnsi="Verdana"/>
        </w:rPr>
        <w:t>, povezanih s priporočili</w:t>
      </w:r>
      <w:r w:rsidRPr="00FC4F2F">
        <w:rPr>
          <w:rFonts w:ascii="Verdana" w:hAnsi="Verdana"/>
        </w:rPr>
        <w:t xml:space="preserve"> iz</w:t>
      </w:r>
      <w:r w:rsidR="00B74989">
        <w:rPr>
          <w:rFonts w:ascii="Verdana" w:hAnsi="Verdana"/>
        </w:rPr>
        <w:t xml:space="preserve"> SEP 2016-2017 ter</w:t>
      </w:r>
      <w:r w:rsidRPr="00FC4F2F">
        <w:rPr>
          <w:rFonts w:ascii="Verdana" w:hAnsi="Verdana"/>
        </w:rPr>
        <w:t xml:space="preserve"> </w:t>
      </w:r>
      <w:r w:rsidR="00B74989">
        <w:rPr>
          <w:rFonts w:ascii="Verdana" w:hAnsi="Verdana"/>
        </w:rPr>
        <w:t>LDN 2018</w:t>
      </w:r>
      <w:r w:rsidR="00CC73BC">
        <w:rPr>
          <w:rFonts w:ascii="Verdana" w:hAnsi="Verdana"/>
        </w:rPr>
        <w:t>,</w:t>
      </w:r>
      <w:r w:rsidRPr="00FC4F2F">
        <w:rPr>
          <w:rFonts w:ascii="Verdana" w:hAnsi="Verdana"/>
        </w:rPr>
        <w:t xml:space="preserve"> najprej </w:t>
      </w:r>
      <w:r>
        <w:rPr>
          <w:rFonts w:ascii="Verdana" w:hAnsi="Verdana"/>
        </w:rPr>
        <w:t xml:space="preserve">na kratko </w:t>
      </w:r>
      <w:r w:rsidRPr="00FC4F2F">
        <w:rPr>
          <w:rFonts w:ascii="Verdana" w:hAnsi="Verdana"/>
        </w:rPr>
        <w:t>prikazano prek pregleda dela sveta agencije kot najvišjega organa odločanja na prvi stopnji ter pritožbene komisije kot organa odločanja na drugi stopnji.</w:t>
      </w:r>
      <w:r w:rsidR="00684295">
        <w:rPr>
          <w:rFonts w:ascii="Verdana" w:hAnsi="Verdana"/>
        </w:rPr>
        <w:t xml:space="preserve"> Posebno poglavje je namenjeno akreditacijam in evalvacijam visokošolskih zavodov, študijskih programov in višjih strokovnih šol.</w:t>
      </w:r>
      <w:r w:rsidR="00CC73BC">
        <w:rPr>
          <w:rFonts w:ascii="Verdana" w:hAnsi="Verdana"/>
        </w:rPr>
        <w:t xml:space="preserve"> </w:t>
      </w:r>
      <w:r w:rsidRPr="00FC4F2F">
        <w:rPr>
          <w:rFonts w:ascii="Verdana" w:hAnsi="Verdana"/>
        </w:rPr>
        <w:t xml:space="preserve">V nadaljevanju je uspešnost agencije pri uresničevanju postavljenih nalog prikazana </w:t>
      </w:r>
      <w:r w:rsidR="00B74989">
        <w:rPr>
          <w:rFonts w:ascii="Verdana" w:hAnsi="Verdana"/>
        </w:rPr>
        <w:t xml:space="preserve">za prvo polovico leta 2018, ko LDN še ni bil sprejet, in drugo polovico leta po sprejetju LDN. Slednje je prikazano </w:t>
      </w:r>
      <w:r w:rsidRPr="00FC4F2F">
        <w:rPr>
          <w:rFonts w:ascii="Verdana" w:hAnsi="Verdana"/>
        </w:rPr>
        <w:t xml:space="preserve">po </w:t>
      </w:r>
      <w:r>
        <w:rPr>
          <w:rFonts w:ascii="Verdana" w:hAnsi="Verdana"/>
        </w:rPr>
        <w:t>posameznih sektorjih oziroma</w:t>
      </w:r>
      <w:r w:rsidRPr="00FC4F2F">
        <w:rPr>
          <w:rFonts w:ascii="Verdana" w:hAnsi="Verdana"/>
        </w:rPr>
        <w:t xml:space="preserve"> poglavj</w:t>
      </w:r>
      <w:r>
        <w:rPr>
          <w:rFonts w:ascii="Verdana" w:hAnsi="Verdana"/>
        </w:rPr>
        <w:t>ih iz</w:t>
      </w:r>
      <w:r w:rsidRPr="00FC4F2F">
        <w:rPr>
          <w:rFonts w:ascii="Verdana" w:hAnsi="Verdana"/>
        </w:rPr>
        <w:t xml:space="preserve"> delovne</w:t>
      </w:r>
      <w:r>
        <w:rPr>
          <w:rFonts w:ascii="Verdana" w:hAnsi="Verdana"/>
        </w:rPr>
        <w:t>ga</w:t>
      </w:r>
      <w:r w:rsidRPr="00FC4F2F">
        <w:rPr>
          <w:rFonts w:ascii="Verdana" w:hAnsi="Verdana"/>
        </w:rPr>
        <w:t xml:space="preserve"> načrt</w:t>
      </w:r>
      <w:r>
        <w:rPr>
          <w:rFonts w:ascii="Verdana" w:hAnsi="Verdana"/>
        </w:rPr>
        <w:t>a</w:t>
      </w:r>
      <w:r w:rsidRPr="00FC4F2F">
        <w:rPr>
          <w:rFonts w:ascii="Verdana" w:hAnsi="Verdana"/>
        </w:rPr>
        <w:t xml:space="preserve"> za leto 201</w:t>
      </w:r>
      <w:r>
        <w:rPr>
          <w:rFonts w:ascii="Verdana" w:hAnsi="Verdana"/>
        </w:rPr>
        <w:t>8</w:t>
      </w:r>
      <w:r w:rsidR="00B74989">
        <w:rPr>
          <w:rFonts w:ascii="Verdana" w:hAnsi="Verdana"/>
        </w:rPr>
        <w:t xml:space="preserve">. </w:t>
      </w:r>
      <w:r w:rsidR="00E82A26">
        <w:rPr>
          <w:rFonts w:ascii="Verdana" w:hAnsi="Verdana"/>
        </w:rPr>
        <w:t>Dodano je še poglavje o finančnem poslovanju in kadrih</w:t>
      </w:r>
      <w:r w:rsidRPr="00FC4F2F">
        <w:rPr>
          <w:rFonts w:ascii="Verdana" w:hAnsi="Verdana"/>
        </w:rPr>
        <w:t>.</w:t>
      </w:r>
    </w:p>
    <w:p w14:paraId="0698D0FE" w14:textId="3D139656" w:rsidR="006C6704" w:rsidRDefault="006C6704" w:rsidP="00E82A26">
      <w:pPr>
        <w:spacing w:after="0"/>
        <w:jc w:val="both"/>
        <w:rPr>
          <w:rFonts w:ascii="Verdana" w:hAnsi="Verdana"/>
        </w:rPr>
      </w:pPr>
    </w:p>
    <w:p w14:paraId="337B4054" w14:textId="77777777" w:rsidR="00484FBF" w:rsidRDefault="00484FBF" w:rsidP="00E82A26">
      <w:pPr>
        <w:spacing w:after="0"/>
        <w:jc w:val="both"/>
        <w:rPr>
          <w:rFonts w:ascii="Verdana" w:hAnsi="Verdana"/>
        </w:rPr>
      </w:pPr>
    </w:p>
    <w:p w14:paraId="1F66F00C" w14:textId="77777777" w:rsidR="00A42BA5" w:rsidRDefault="00A42BA5" w:rsidP="00E82A26">
      <w:pPr>
        <w:spacing w:after="0"/>
        <w:jc w:val="both"/>
        <w:rPr>
          <w:rFonts w:ascii="Verdana" w:hAnsi="Verdana"/>
        </w:rPr>
      </w:pPr>
    </w:p>
    <w:p w14:paraId="4B13BC0C" w14:textId="77777777" w:rsidR="00A42BA5" w:rsidRDefault="00A42BA5" w:rsidP="00E82A26">
      <w:pPr>
        <w:spacing w:after="0"/>
        <w:jc w:val="both"/>
        <w:rPr>
          <w:rFonts w:ascii="Verdana" w:hAnsi="Verdana"/>
        </w:rPr>
      </w:pPr>
    </w:p>
    <w:p w14:paraId="4F220155" w14:textId="77777777" w:rsidR="00A42BA5" w:rsidRPr="00FC4F2F" w:rsidRDefault="00A42BA5" w:rsidP="00E82A26">
      <w:pPr>
        <w:spacing w:after="0"/>
        <w:jc w:val="both"/>
        <w:rPr>
          <w:rFonts w:ascii="Verdana" w:hAnsi="Verdana"/>
        </w:rPr>
      </w:pPr>
    </w:p>
    <w:p w14:paraId="25F75CFB" w14:textId="77777777" w:rsidR="008F79CD" w:rsidRPr="001E7AA3" w:rsidRDefault="00C0437B" w:rsidP="001E7AA3">
      <w:pPr>
        <w:pStyle w:val="Naslov"/>
        <w:rPr>
          <w:sz w:val="32"/>
        </w:rPr>
      </w:pPr>
      <w:bookmarkStart w:id="12" w:name="_Toc534359894"/>
      <w:bookmarkStart w:id="13" w:name="_Toc2157283"/>
      <w:r>
        <w:rPr>
          <w:sz w:val="32"/>
        </w:rPr>
        <w:lastRenderedPageBreak/>
        <w:t xml:space="preserve">II </w:t>
      </w:r>
      <w:r w:rsidR="008F79CD" w:rsidRPr="001E7AA3">
        <w:rPr>
          <w:sz w:val="32"/>
        </w:rPr>
        <w:t>PREGLED DELA ORGANOV ODLOČANJA AGENCIJE NA PRVI IN DRUGI STOPNJI</w:t>
      </w:r>
      <w:bookmarkEnd w:id="12"/>
      <w:bookmarkEnd w:id="13"/>
    </w:p>
    <w:p w14:paraId="1DB6BF6F" w14:textId="77777777" w:rsidR="008F79CD" w:rsidRPr="008F79CD" w:rsidRDefault="008F79CD" w:rsidP="008F79CD">
      <w:pPr>
        <w:spacing w:after="0"/>
        <w:jc w:val="both"/>
        <w:rPr>
          <w:rFonts w:ascii="Verdana" w:hAnsi="Verdana"/>
          <w:b/>
          <w:sz w:val="24"/>
          <w:szCs w:val="24"/>
        </w:rPr>
      </w:pPr>
    </w:p>
    <w:p w14:paraId="06DACC49" w14:textId="77777777" w:rsidR="008F79CD" w:rsidRPr="00473A35" w:rsidRDefault="00D577A1" w:rsidP="00A83BF0">
      <w:pPr>
        <w:pStyle w:val="Naslov2"/>
      </w:pPr>
      <w:bookmarkStart w:id="14" w:name="_Toc2157284"/>
      <w:r>
        <w:t>II.1</w:t>
      </w:r>
      <w:r w:rsidR="008F79CD" w:rsidRPr="00473A35">
        <w:t xml:space="preserve"> SVET AGENCIJE</w:t>
      </w:r>
      <w:bookmarkEnd w:id="14"/>
    </w:p>
    <w:p w14:paraId="12DBC086" w14:textId="77777777" w:rsidR="004B3BEA" w:rsidRDefault="008F79CD" w:rsidP="008F79CD">
      <w:pPr>
        <w:pStyle w:val="Kazalovsebine2"/>
        <w:jc w:val="both"/>
        <w:rPr>
          <w:sz w:val="22"/>
          <w:szCs w:val="22"/>
        </w:rPr>
      </w:pPr>
      <w:r w:rsidRPr="008F79CD">
        <w:rPr>
          <w:sz w:val="22"/>
          <w:szCs w:val="22"/>
        </w:rPr>
        <w:t xml:space="preserve">Svet agencije se je v letu 2018  sestal na </w:t>
      </w:r>
      <w:r w:rsidR="0000009E">
        <w:rPr>
          <w:sz w:val="22"/>
          <w:szCs w:val="22"/>
        </w:rPr>
        <w:t>14</w:t>
      </w:r>
      <w:r w:rsidRPr="008F79CD">
        <w:rPr>
          <w:sz w:val="22"/>
          <w:szCs w:val="22"/>
        </w:rPr>
        <w:t xml:space="preserve"> sejah</w:t>
      </w:r>
      <w:r w:rsidR="0000009E">
        <w:rPr>
          <w:sz w:val="22"/>
          <w:szCs w:val="22"/>
        </w:rPr>
        <w:t xml:space="preserve">. V </w:t>
      </w:r>
      <w:r w:rsidR="0000009E" w:rsidRPr="00F416A1">
        <w:rPr>
          <w:sz w:val="22"/>
          <w:szCs w:val="22"/>
        </w:rPr>
        <w:t>načrtu</w:t>
      </w:r>
      <w:r w:rsidR="0000009E" w:rsidRPr="00CC73BC">
        <w:rPr>
          <w:sz w:val="22"/>
          <w:szCs w:val="22"/>
        </w:rPr>
        <w:t xml:space="preserve"> za</w:t>
      </w:r>
      <w:r w:rsidR="0000009E">
        <w:rPr>
          <w:sz w:val="22"/>
          <w:szCs w:val="22"/>
        </w:rPr>
        <w:t xml:space="preserve"> leto 2018 je bilo sprva predvidenih 10 sej </w:t>
      </w:r>
      <w:r w:rsidR="0000009E" w:rsidRPr="00552F4A">
        <w:rPr>
          <w:sz w:val="22"/>
          <w:szCs w:val="22"/>
        </w:rPr>
        <w:t>(vsak tretji četrtek v mesecu, razen julija in avgusta),</w:t>
      </w:r>
      <w:r w:rsidR="0000009E">
        <w:rPr>
          <w:sz w:val="22"/>
          <w:szCs w:val="22"/>
        </w:rPr>
        <w:t xml:space="preserve"> zaradi izbire in imenovanja novega direktorja </w:t>
      </w:r>
      <w:r w:rsidR="00294B5E">
        <w:rPr>
          <w:sz w:val="22"/>
          <w:szCs w:val="22"/>
        </w:rPr>
        <w:t>ter</w:t>
      </w:r>
      <w:r w:rsidR="0000009E">
        <w:rPr>
          <w:sz w:val="22"/>
          <w:szCs w:val="22"/>
        </w:rPr>
        <w:t xml:space="preserve"> zunanje evalvacije agencije pa se je sestal še na dveh »dodatnih« sejah</w:t>
      </w:r>
      <w:r w:rsidR="00294B5E">
        <w:rPr>
          <w:sz w:val="22"/>
          <w:szCs w:val="22"/>
        </w:rPr>
        <w:t xml:space="preserve"> (marca in konec avgusta)</w:t>
      </w:r>
      <w:r w:rsidR="0000009E">
        <w:rPr>
          <w:sz w:val="22"/>
          <w:szCs w:val="22"/>
        </w:rPr>
        <w:t>. Poleg tega je imel še dve dopisni seji</w:t>
      </w:r>
      <w:r w:rsidRPr="008F79CD">
        <w:rPr>
          <w:sz w:val="22"/>
          <w:szCs w:val="22"/>
        </w:rPr>
        <w:t xml:space="preserve">. </w:t>
      </w:r>
    </w:p>
    <w:p w14:paraId="13758A68" w14:textId="7310C18E" w:rsidR="008F79CD" w:rsidRPr="008F79CD" w:rsidRDefault="00294B5E" w:rsidP="008F79CD">
      <w:pPr>
        <w:pStyle w:val="Kazalovsebine2"/>
        <w:jc w:val="both"/>
        <w:rPr>
          <w:sz w:val="22"/>
          <w:szCs w:val="22"/>
        </w:rPr>
      </w:pPr>
      <w:r>
        <w:rPr>
          <w:sz w:val="22"/>
          <w:szCs w:val="22"/>
        </w:rPr>
        <w:t>Odločitve sveta o a</w:t>
      </w:r>
      <w:r w:rsidR="00E044D4">
        <w:rPr>
          <w:sz w:val="22"/>
          <w:szCs w:val="22"/>
        </w:rPr>
        <w:t xml:space="preserve">kreditacijah in zunanjih evalvacijah visokošolskih zavodov, študijskih </w:t>
      </w:r>
      <w:r w:rsidR="00E044D4" w:rsidRPr="00FF0B53">
        <w:rPr>
          <w:sz w:val="22"/>
          <w:szCs w:val="22"/>
        </w:rPr>
        <w:t xml:space="preserve">programov in višjih strokovnih šol </w:t>
      </w:r>
      <w:r w:rsidRPr="00FF0B53">
        <w:rPr>
          <w:sz w:val="22"/>
          <w:szCs w:val="22"/>
        </w:rPr>
        <w:t xml:space="preserve">so </w:t>
      </w:r>
      <w:r w:rsidR="008F79CD" w:rsidRPr="00FF0B53">
        <w:rPr>
          <w:sz w:val="22"/>
          <w:szCs w:val="22"/>
        </w:rPr>
        <w:t xml:space="preserve">prikazane v poglavju </w:t>
      </w:r>
      <w:r w:rsidR="00CC73BC" w:rsidRPr="00FF0B53">
        <w:rPr>
          <w:sz w:val="22"/>
          <w:szCs w:val="22"/>
        </w:rPr>
        <w:t>III</w:t>
      </w:r>
      <w:r w:rsidR="008F79CD" w:rsidRPr="00FF0B53">
        <w:rPr>
          <w:sz w:val="22"/>
          <w:szCs w:val="22"/>
        </w:rPr>
        <w:t xml:space="preserve"> A</w:t>
      </w:r>
      <w:r w:rsidR="008F79CD" w:rsidRPr="00FF0B53">
        <w:rPr>
          <w:sz w:val="22"/>
          <w:szCs w:val="22"/>
          <w:lang w:eastAsia="sl-SI"/>
        </w:rPr>
        <w:t xml:space="preserve">kreditacije </w:t>
      </w:r>
      <w:r w:rsidR="00CC73BC" w:rsidRPr="00FF0B53">
        <w:rPr>
          <w:sz w:val="22"/>
          <w:szCs w:val="22"/>
          <w:lang w:eastAsia="sl-SI"/>
        </w:rPr>
        <w:t>in</w:t>
      </w:r>
      <w:r w:rsidR="008F79CD" w:rsidRPr="00FF0B53">
        <w:rPr>
          <w:sz w:val="22"/>
          <w:szCs w:val="22"/>
          <w:lang w:eastAsia="sl-SI"/>
        </w:rPr>
        <w:t xml:space="preserve"> evalvacije v</w:t>
      </w:r>
      <w:r w:rsidR="00CC73BC" w:rsidRPr="00FF0B53">
        <w:rPr>
          <w:sz w:val="22"/>
          <w:szCs w:val="22"/>
          <w:lang w:eastAsia="sl-SI"/>
        </w:rPr>
        <w:t xml:space="preserve"> visokem in višjem šolstvu</w:t>
      </w:r>
      <w:r w:rsidR="008F79CD" w:rsidRPr="00FF0B53">
        <w:rPr>
          <w:sz w:val="22"/>
          <w:szCs w:val="22"/>
          <w:lang w:eastAsia="sl-SI"/>
        </w:rPr>
        <w:t xml:space="preserve"> na strani </w:t>
      </w:r>
      <w:r w:rsidR="00CC73BC" w:rsidRPr="00FF0B53">
        <w:rPr>
          <w:sz w:val="22"/>
          <w:szCs w:val="22"/>
          <w:lang w:eastAsia="sl-SI"/>
        </w:rPr>
        <w:t>1</w:t>
      </w:r>
      <w:r w:rsidR="00FF0B53" w:rsidRPr="00FF0B53">
        <w:rPr>
          <w:sz w:val="22"/>
          <w:szCs w:val="22"/>
          <w:lang w:eastAsia="sl-SI"/>
        </w:rPr>
        <w:t>6</w:t>
      </w:r>
      <w:r w:rsidR="00CC73BC" w:rsidRPr="00FF0B53">
        <w:rPr>
          <w:sz w:val="22"/>
          <w:szCs w:val="22"/>
          <w:lang w:eastAsia="sl-SI"/>
        </w:rPr>
        <w:t>.</w:t>
      </w:r>
      <w:r w:rsidR="008F79CD" w:rsidRPr="00FF0B53">
        <w:rPr>
          <w:sz w:val="22"/>
          <w:szCs w:val="22"/>
          <w:lang w:eastAsia="sl-SI"/>
        </w:rPr>
        <w:t xml:space="preserve"> </w:t>
      </w:r>
      <w:r w:rsidR="00CC73BC" w:rsidRPr="00FF0B53">
        <w:rPr>
          <w:sz w:val="22"/>
          <w:szCs w:val="22"/>
          <w:lang w:eastAsia="sl-SI"/>
        </w:rPr>
        <w:t>S</w:t>
      </w:r>
      <w:r w:rsidRPr="00FF0B53">
        <w:rPr>
          <w:sz w:val="22"/>
          <w:szCs w:val="22"/>
          <w:lang w:eastAsia="sl-SI"/>
        </w:rPr>
        <w:t>vet</w:t>
      </w:r>
      <w:r w:rsidR="008F79CD" w:rsidRPr="00FF0B53">
        <w:rPr>
          <w:sz w:val="22"/>
          <w:szCs w:val="22"/>
          <w:lang w:eastAsia="sl-SI"/>
        </w:rPr>
        <w:t xml:space="preserve"> </w:t>
      </w:r>
      <w:r w:rsidR="00CC73BC" w:rsidRPr="00FF0B53">
        <w:rPr>
          <w:sz w:val="22"/>
          <w:szCs w:val="22"/>
          <w:lang w:eastAsia="sl-SI"/>
        </w:rPr>
        <w:t xml:space="preserve">se je poleg tega </w:t>
      </w:r>
      <w:r w:rsidR="008F79CD" w:rsidRPr="00FF0B53">
        <w:rPr>
          <w:sz w:val="22"/>
          <w:szCs w:val="22"/>
          <w:lang w:eastAsia="sl-SI"/>
        </w:rPr>
        <w:t>intenzivno ukvarjal predvsem še s samoevalvacijo agencije; spremembami meril ter izbiro direktorja</w:t>
      </w:r>
      <w:r w:rsidR="008F79CD" w:rsidRPr="008F79CD">
        <w:rPr>
          <w:sz w:val="22"/>
          <w:szCs w:val="22"/>
          <w:lang w:eastAsia="sl-SI"/>
        </w:rPr>
        <w:t xml:space="preserve"> agencije.</w:t>
      </w:r>
    </w:p>
    <w:p w14:paraId="1F4B7453" w14:textId="77777777" w:rsidR="008F79CD" w:rsidRPr="008F79CD" w:rsidRDefault="008F79CD" w:rsidP="008F79CD">
      <w:pPr>
        <w:spacing w:after="0"/>
        <w:jc w:val="both"/>
        <w:rPr>
          <w:rFonts w:ascii="Verdana" w:hAnsi="Verdana"/>
        </w:rPr>
      </w:pPr>
    </w:p>
    <w:p w14:paraId="2CBA6500" w14:textId="77777777" w:rsidR="008F79CD" w:rsidRPr="00484FBF" w:rsidRDefault="008F79CD" w:rsidP="008F79CD">
      <w:pPr>
        <w:pStyle w:val="Brezrazmikov"/>
        <w:jc w:val="both"/>
        <w:rPr>
          <w:rFonts w:ascii="Verdana" w:hAnsi="Verdana"/>
          <w:b/>
        </w:rPr>
      </w:pPr>
      <w:r w:rsidRPr="00484FBF">
        <w:rPr>
          <w:rFonts w:ascii="Verdana" w:hAnsi="Verdana"/>
          <w:b/>
        </w:rPr>
        <w:t>Samoevalvacija agencije</w:t>
      </w:r>
    </w:p>
    <w:p w14:paraId="05C18A78" w14:textId="77777777" w:rsidR="008F79CD" w:rsidRPr="00484FBF" w:rsidRDefault="008F79CD" w:rsidP="008F79CD">
      <w:pPr>
        <w:pStyle w:val="Brezrazmikov"/>
        <w:jc w:val="both"/>
        <w:rPr>
          <w:rFonts w:ascii="Verdana" w:hAnsi="Verdana"/>
          <w:b/>
        </w:rPr>
      </w:pPr>
    </w:p>
    <w:p w14:paraId="6CE9CC6C" w14:textId="77777777" w:rsidR="008F79CD" w:rsidRPr="00484FBF" w:rsidRDefault="008F79CD" w:rsidP="008F79CD">
      <w:pPr>
        <w:pStyle w:val="Brezrazmikov"/>
        <w:jc w:val="both"/>
        <w:rPr>
          <w:rFonts w:ascii="Verdana" w:hAnsi="Verdana"/>
        </w:rPr>
      </w:pPr>
      <w:r w:rsidRPr="00484FBF">
        <w:rPr>
          <w:rFonts w:ascii="Verdana" w:hAnsi="Verdana"/>
        </w:rPr>
        <w:t xml:space="preserve">Svet agencije </w:t>
      </w:r>
      <w:r w:rsidR="00897FFA" w:rsidRPr="00484FBF">
        <w:rPr>
          <w:rFonts w:ascii="Verdana" w:hAnsi="Verdana"/>
        </w:rPr>
        <w:t xml:space="preserve">se </w:t>
      </w:r>
      <w:r w:rsidRPr="00484FBF">
        <w:rPr>
          <w:rFonts w:ascii="Verdana" w:hAnsi="Verdana"/>
        </w:rPr>
        <w:t xml:space="preserve">je </w:t>
      </w:r>
      <w:r w:rsidR="00294B5E" w:rsidRPr="00484FBF">
        <w:rPr>
          <w:rFonts w:ascii="Verdana" w:hAnsi="Verdana"/>
        </w:rPr>
        <w:t xml:space="preserve">že decembra 2017 </w:t>
      </w:r>
      <w:r w:rsidRPr="00484FBF">
        <w:rPr>
          <w:rFonts w:ascii="Verdana" w:hAnsi="Verdana"/>
        </w:rPr>
        <w:t xml:space="preserve">podrobneje seznanil s sestavo </w:t>
      </w:r>
      <w:r w:rsidR="00897FFA" w:rsidRPr="00484FBF">
        <w:rPr>
          <w:rFonts w:ascii="Verdana" w:hAnsi="Verdana"/>
        </w:rPr>
        <w:t xml:space="preserve">samoevalvacijskega </w:t>
      </w:r>
      <w:r w:rsidRPr="00484FBF">
        <w:rPr>
          <w:rFonts w:ascii="Verdana" w:hAnsi="Verdana"/>
        </w:rPr>
        <w:t>poročila</w:t>
      </w:r>
      <w:r w:rsidR="00897FFA" w:rsidRPr="00484FBF">
        <w:rPr>
          <w:rFonts w:ascii="Verdana" w:hAnsi="Verdana"/>
        </w:rPr>
        <w:t xml:space="preserve"> za leti 2016 in 2017</w:t>
      </w:r>
      <w:r w:rsidRPr="00484FBF">
        <w:rPr>
          <w:rFonts w:ascii="Verdana" w:hAnsi="Verdana"/>
        </w:rPr>
        <w:t xml:space="preserve"> </w:t>
      </w:r>
      <w:r w:rsidR="00897FFA" w:rsidRPr="00484FBF">
        <w:rPr>
          <w:rFonts w:ascii="Verdana" w:hAnsi="Verdana"/>
        </w:rPr>
        <w:t>ter</w:t>
      </w:r>
      <w:r w:rsidRPr="00484FBF">
        <w:rPr>
          <w:rFonts w:ascii="Verdana" w:hAnsi="Verdana"/>
        </w:rPr>
        <w:t xml:space="preserve"> dal vsebinska priporočila k osnutku. Januarja 201</w:t>
      </w:r>
      <w:r w:rsidR="00E044D4" w:rsidRPr="00484FBF">
        <w:rPr>
          <w:rFonts w:ascii="Verdana" w:hAnsi="Verdana"/>
        </w:rPr>
        <w:t>8</w:t>
      </w:r>
      <w:r w:rsidRPr="00484FBF">
        <w:rPr>
          <w:rFonts w:ascii="Verdana" w:hAnsi="Verdana"/>
        </w:rPr>
        <w:t xml:space="preserve"> je obravnaval predlog </w:t>
      </w:r>
      <w:r w:rsidR="00897FFA" w:rsidRPr="00484FBF">
        <w:rPr>
          <w:rFonts w:ascii="Verdana" w:hAnsi="Verdana"/>
        </w:rPr>
        <w:t>tega</w:t>
      </w:r>
      <w:r w:rsidRPr="00484FBF">
        <w:rPr>
          <w:rFonts w:ascii="Verdana" w:hAnsi="Verdana"/>
        </w:rPr>
        <w:t xml:space="preserve"> poročila. Menil je, da je dobro pripravljen, in dal še nekaj vsebinskih pripomb predvsem glede </w:t>
      </w:r>
      <w:r w:rsidR="00897FFA" w:rsidRPr="00484FBF">
        <w:rPr>
          <w:rFonts w:ascii="Verdana" w:hAnsi="Verdana"/>
        </w:rPr>
        <w:t>analize SWOT</w:t>
      </w:r>
      <w:r w:rsidRPr="00484FBF">
        <w:rPr>
          <w:rFonts w:ascii="Verdana" w:hAnsi="Verdana"/>
        </w:rPr>
        <w:t xml:space="preserve">. </w:t>
      </w:r>
    </w:p>
    <w:p w14:paraId="6054393A" w14:textId="77777777" w:rsidR="008F79CD" w:rsidRPr="00484FBF" w:rsidRDefault="008F79CD" w:rsidP="008F79CD">
      <w:pPr>
        <w:pStyle w:val="Brezrazmikov"/>
        <w:jc w:val="both"/>
        <w:rPr>
          <w:rFonts w:ascii="Verdana" w:hAnsi="Verdana"/>
        </w:rPr>
      </w:pPr>
    </w:p>
    <w:p w14:paraId="1A2458CA" w14:textId="77777777" w:rsidR="008F79CD" w:rsidRPr="00484FBF" w:rsidRDefault="008F79CD" w:rsidP="008F79CD">
      <w:pPr>
        <w:pStyle w:val="Brezrazmikov"/>
        <w:jc w:val="both"/>
        <w:rPr>
          <w:rFonts w:ascii="Verdana" w:hAnsi="Verdana"/>
        </w:rPr>
      </w:pPr>
      <w:r w:rsidRPr="00484FBF">
        <w:rPr>
          <w:rFonts w:ascii="Verdana" w:hAnsi="Verdana"/>
        </w:rPr>
        <w:t xml:space="preserve">Svet je dal soglasje k </w:t>
      </w:r>
      <w:proofErr w:type="spellStart"/>
      <w:r w:rsidRPr="00484FBF">
        <w:rPr>
          <w:rFonts w:ascii="Verdana" w:hAnsi="Verdana"/>
        </w:rPr>
        <w:t>samoevalvacijskemu</w:t>
      </w:r>
      <w:proofErr w:type="spellEnd"/>
      <w:r w:rsidRPr="00484FBF">
        <w:rPr>
          <w:rFonts w:ascii="Verdana" w:hAnsi="Verdana"/>
        </w:rPr>
        <w:t xml:space="preserve"> poročilu agencije </w:t>
      </w:r>
      <w:r w:rsidR="00897FFA" w:rsidRPr="00484FBF">
        <w:rPr>
          <w:rFonts w:ascii="Verdana" w:hAnsi="Verdana"/>
        </w:rPr>
        <w:t xml:space="preserve">za leti 2016 in 2017 </w:t>
      </w:r>
      <w:r w:rsidRPr="00484FBF">
        <w:rPr>
          <w:rFonts w:ascii="Verdana" w:hAnsi="Verdana"/>
        </w:rPr>
        <w:t xml:space="preserve">na </w:t>
      </w:r>
      <w:r w:rsidR="00294B5E" w:rsidRPr="00484FBF">
        <w:rPr>
          <w:rFonts w:ascii="Verdana" w:hAnsi="Verdana"/>
        </w:rPr>
        <w:t>122</w:t>
      </w:r>
      <w:r w:rsidRPr="00484FBF">
        <w:rPr>
          <w:rFonts w:ascii="Verdana" w:hAnsi="Verdana"/>
        </w:rPr>
        <w:t xml:space="preserve">. seji </w:t>
      </w:r>
      <w:r w:rsidR="00294B5E" w:rsidRPr="00484FBF">
        <w:rPr>
          <w:rFonts w:ascii="Verdana" w:hAnsi="Verdana"/>
        </w:rPr>
        <w:t>15</w:t>
      </w:r>
      <w:r w:rsidRPr="00484FBF">
        <w:rPr>
          <w:rFonts w:ascii="Verdana" w:hAnsi="Verdana"/>
        </w:rPr>
        <w:t xml:space="preserve">. </w:t>
      </w:r>
      <w:r w:rsidR="00E044D4" w:rsidRPr="00484FBF">
        <w:rPr>
          <w:rFonts w:ascii="Verdana" w:hAnsi="Verdana"/>
        </w:rPr>
        <w:t>februarja</w:t>
      </w:r>
      <w:r w:rsidRPr="00484FBF">
        <w:rPr>
          <w:rFonts w:ascii="Verdana" w:hAnsi="Verdana"/>
        </w:rPr>
        <w:t xml:space="preserve"> 201</w:t>
      </w:r>
      <w:r w:rsidR="00E044D4" w:rsidRPr="00484FBF">
        <w:rPr>
          <w:rFonts w:ascii="Verdana" w:hAnsi="Verdana"/>
        </w:rPr>
        <w:t>8</w:t>
      </w:r>
      <w:r w:rsidRPr="00484FBF">
        <w:rPr>
          <w:rFonts w:ascii="Verdana" w:hAnsi="Verdana"/>
        </w:rPr>
        <w:t>.</w:t>
      </w:r>
    </w:p>
    <w:p w14:paraId="7F6EF460" w14:textId="77777777" w:rsidR="008F79CD" w:rsidRPr="00484FBF" w:rsidRDefault="008F79CD" w:rsidP="008F79CD">
      <w:pPr>
        <w:pStyle w:val="Brezrazmikov"/>
        <w:jc w:val="both"/>
        <w:rPr>
          <w:rFonts w:ascii="Verdana" w:hAnsi="Verdana"/>
        </w:rPr>
      </w:pPr>
    </w:p>
    <w:p w14:paraId="5EA21384" w14:textId="77777777" w:rsidR="008F79CD" w:rsidRPr="00484FBF" w:rsidRDefault="00897FFA" w:rsidP="008F79CD">
      <w:pPr>
        <w:pStyle w:val="Brezrazmikov"/>
        <w:jc w:val="both"/>
        <w:rPr>
          <w:rFonts w:ascii="Verdana" w:hAnsi="Verdana"/>
        </w:rPr>
      </w:pPr>
      <w:r w:rsidRPr="00484FBF">
        <w:rPr>
          <w:rFonts w:ascii="Verdana" w:hAnsi="Verdana"/>
        </w:rPr>
        <w:t>Vzporedno z</w:t>
      </w:r>
      <w:r w:rsidR="006838EC" w:rsidRPr="00484FBF">
        <w:rPr>
          <w:rFonts w:ascii="Verdana" w:hAnsi="Verdana"/>
        </w:rPr>
        <w:t xml:space="preserve"> obravnav</w:t>
      </w:r>
      <w:r w:rsidRPr="00484FBF">
        <w:rPr>
          <w:rFonts w:ascii="Verdana" w:hAnsi="Verdana"/>
        </w:rPr>
        <w:t>anjem</w:t>
      </w:r>
      <w:r w:rsidR="006838EC" w:rsidRPr="00484FBF">
        <w:rPr>
          <w:rFonts w:ascii="Verdana" w:hAnsi="Verdana"/>
        </w:rPr>
        <w:t xml:space="preserve"> samoevalvacijskega poročila je posod</w:t>
      </w:r>
      <w:r w:rsidR="00294B5E" w:rsidRPr="00484FBF">
        <w:rPr>
          <w:rFonts w:ascii="Verdana" w:hAnsi="Verdana"/>
        </w:rPr>
        <w:t>abljal</w:t>
      </w:r>
      <w:r w:rsidR="006838EC" w:rsidRPr="00484FBF">
        <w:rPr>
          <w:rFonts w:ascii="Verdana" w:hAnsi="Verdana"/>
        </w:rPr>
        <w:t xml:space="preserve"> tudi poslanstvo in vizijo agencije. Sprejel ju je na </w:t>
      </w:r>
      <w:r w:rsidR="001D50DD" w:rsidRPr="00484FBF">
        <w:rPr>
          <w:rFonts w:ascii="Verdana" w:hAnsi="Verdana"/>
        </w:rPr>
        <w:t>12</w:t>
      </w:r>
      <w:r w:rsidR="00294B5E" w:rsidRPr="00484FBF">
        <w:rPr>
          <w:rFonts w:ascii="Verdana" w:hAnsi="Verdana"/>
        </w:rPr>
        <w:t>4. seji 15.</w:t>
      </w:r>
      <w:r w:rsidR="006838EC" w:rsidRPr="00484FBF">
        <w:rPr>
          <w:rFonts w:ascii="Verdana" w:hAnsi="Verdana"/>
        </w:rPr>
        <w:t xml:space="preserve"> marca 2018.</w:t>
      </w:r>
    </w:p>
    <w:p w14:paraId="0AD3868C" w14:textId="77777777" w:rsidR="001D50DD" w:rsidRPr="00484FBF" w:rsidRDefault="001D50DD" w:rsidP="001D50DD">
      <w:pPr>
        <w:pStyle w:val="Brezrazmikov"/>
        <w:jc w:val="both"/>
        <w:rPr>
          <w:rFonts w:ascii="Verdana" w:hAnsi="Verdana"/>
          <w:b/>
        </w:rPr>
      </w:pPr>
    </w:p>
    <w:p w14:paraId="6FDD694C" w14:textId="77777777" w:rsidR="001D50DD" w:rsidRPr="00484FBF" w:rsidRDefault="001D50DD" w:rsidP="001D50DD">
      <w:pPr>
        <w:pStyle w:val="Brezrazmikov"/>
        <w:jc w:val="both"/>
        <w:rPr>
          <w:rFonts w:ascii="Verdana" w:hAnsi="Verdana"/>
        </w:rPr>
      </w:pPr>
      <w:r w:rsidRPr="00484FBF">
        <w:rPr>
          <w:rFonts w:ascii="Verdana" w:hAnsi="Verdana"/>
          <w:b/>
        </w:rPr>
        <w:t>Imenovanje direktorja agencije</w:t>
      </w:r>
    </w:p>
    <w:p w14:paraId="1C1D6A8B" w14:textId="77777777" w:rsidR="001D50DD" w:rsidRPr="00484FBF" w:rsidRDefault="001D50DD" w:rsidP="001D50DD">
      <w:pPr>
        <w:pStyle w:val="Brezrazmikov"/>
        <w:jc w:val="both"/>
        <w:rPr>
          <w:rFonts w:ascii="Verdana" w:hAnsi="Verdana"/>
        </w:rPr>
      </w:pPr>
    </w:p>
    <w:p w14:paraId="2F8D198F" w14:textId="41343DF0" w:rsidR="001D50DD" w:rsidRPr="00484FBF" w:rsidRDefault="001D50DD" w:rsidP="001D50DD">
      <w:pPr>
        <w:pStyle w:val="Brezrazmikov"/>
        <w:jc w:val="both"/>
        <w:rPr>
          <w:rFonts w:ascii="Verdana" w:hAnsi="Verdana"/>
        </w:rPr>
      </w:pPr>
      <w:r w:rsidRPr="00484FBF">
        <w:rPr>
          <w:rFonts w:ascii="Verdana" w:hAnsi="Verdana"/>
        </w:rPr>
        <w:t xml:space="preserve">Svet je veliko časa namenil javnemu natečaju oziroma izbiri novega direktorja agencije. O tem je razpravljal in odločal na </w:t>
      </w:r>
      <w:r w:rsidR="00CC73BC" w:rsidRPr="00484FBF">
        <w:rPr>
          <w:rFonts w:ascii="Verdana" w:hAnsi="Verdana"/>
        </w:rPr>
        <w:t>več</w:t>
      </w:r>
      <w:r w:rsidRPr="00484FBF">
        <w:rPr>
          <w:rFonts w:ascii="Verdana" w:hAnsi="Verdana"/>
        </w:rPr>
        <w:t xml:space="preserve"> sejah. Javni natečaj za izbiro direktorja je objavil </w:t>
      </w:r>
      <w:r w:rsidR="00217B96" w:rsidRPr="00484FBF">
        <w:rPr>
          <w:rFonts w:ascii="Verdana" w:hAnsi="Verdana"/>
        </w:rPr>
        <w:t>2. februarja</w:t>
      </w:r>
      <w:r w:rsidRPr="00484FBF">
        <w:rPr>
          <w:rFonts w:ascii="Verdana" w:hAnsi="Verdana"/>
        </w:rPr>
        <w:t xml:space="preserve"> 2018. Opravil je razgovore s </w:t>
      </w:r>
      <w:r w:rsidR="003B7C94">
        <w:rPr>
          <w:rFonts w:ascii="Verdana" w:hAnsi="Verdana"/>
        </w:rPr>
        <w:t>tremi</w:t>
      </w:r>
      <w:r w:rsidRPr="00484FBF">
        <w:rPr>
          <w:rFonts w:ascii="Verdana" w:hAnsi="Verdana"/>
        </w:rPr>
        <w:t xml:space="preserve"> kandidati, </w:t>
      </w:r>
      <w:r w:rsidRPr="00484FBF">
        <w:rPr>
          <w:rFonts w:ascii="Verdana" w:hAnsi="Verdana" w:cs="Calibri"/>
        </w:rPr>
        <w:t>ki jih je natečajna komisija ocenila kot primerne za direktorja agencije. Novega direktorja je  imenoval na 125. dopisni seji, ki je trajala od torka, 20. marca 2018, do četrtka, 22. marca;</w:t>
      </w:r>
      <w:r w:rsidRPr="00484FBF">
        <w:rPr>
          <w:rFonts w:ascii="Verdana" w:hAnsi="Verdana"/>
        </w:rPr>
        <w:t xml:space="preserve"> ta je vodenje agencije prevzel</w:t>
      </w:r>
      <w:r w:rsidRPr="00484FBF">
        <w:rPr>
          <w:rFonts w:ascii="Verdana" w:hAnsi="Verdana" w:cs="Calibri"/>
        </w:rPr>
        <w:t xml:space="preserve"> 2. aprila 2018</w:t>
      </w:r>
      <w:r w:rsidRPr="00484FBF">
        <w:rPr>
          <w:rFonts w:ascii="Verdana" w:eastAsia="BatangChe" w:hAnsi="Verdana"/>
        </w:rPr>
        <w:t>.</w:t>
      </w:r>
    </w:p>
    <w:p w14:paraId="531A4C3A" w14:textId="77777777" w:rsidR="001D50DD" w:rsidRPr="00484FBF" w:rsidRDefault="001D50DD" w:rsidP="001D50DD">
      <w:pPr>
        <w:pStyle w:val="Brezrazmikov"/>
        <w:rPr>
          <w:rFonts w:ascii="Verdana" w:hAnsi="Verdana"/>
          <w:b/>
        </w:rPr>
      </w:pPr>
    </w:p>
    <w:p w14:paraId="32EB3FA3" w14:textId="77777777" w:rsidR="001D50DD" w:rsidRPr="00484FBF" w:rsidRDefault="001D50DD" w:rsidP="001D50DD">
      <w:pPr>
        <w:pStyle w:val="Brezrazmikov"/>
        <w:rPr>
          <w:rFonts w:ascii="Verdana" w:hAnsi="Verdana"/>
          <w:b/>
        </w:rPr>
      </w:pPr>
      <w:r w:rsidRPr="00484FBF">
        <w:rPr>
          <w:rFonts w:ascii="Verdana" w:hAnsi="Verdana"/>
          <w:b/>
        </w:rPr>
        <w:t xml:space="preserve">Dokumenti agencije </w:t>
      </w:r>
    </w:p>
    <w:p w14:paraId="05F51FA5" w14:textId="77777777" w:rsidR="001D50DD" w:rsidRPr="00484FBF" w:rsidRDefault="001D50DD" w:rsidP="001D50DD">
      <w:pPr>
        <w:pStyle w:val="Brezrazmikov"/>
        <w:rPr>
          <w:rFonts w:ascii="Verdana" w:hAnsi="Verdana"/>
        </w:rPr>
      </w:pPr>
    </w:p>
    <w:p w14:paraId="27CB9EBC" w14:textId="77777777" w:rsidR="001D50DD" w:rsidRPr="00484FBF" w:rsidRDefault="001D50DD" w:rsidP="001D50DD">
      <w:pPr>
        <w:pStyle w:val="Brezrazmikov"/>
        <w:jc w:val="both"/>
        <w:rPr>
          <w:rFonts w:ascii="Verdana" w:hAnsi="Verdana"/>
        </w:rPr>
      </w:pPr>
      <w:r w:rsidRPr="00484FBF">
        <w:rPr>
          <w:rFonts w:ascii="Verdana" w:hAnsi="Verdana"/>
        </w:rPr>
        <w:t>Svet agencije je obravnaval, dal soglasje oziroma sprejel vrsto dokumentov o delu in poslovanju agencije:</w:t>
      </w:r>
    </w:p>
    <w:p w14:paraId="49956910" w14:textId="77777777" w:rsidR="001D50DD" w:rsidRPr="00484FBF" w:rsidRDefault="001D50DD" w:rsidP="001D50DD">
      <w:pPr>
        <w:pStyle w:val="Brezrazmikov"/>
        <w:numPr>
          <w:ilvl w:val="0"/>
          <w:numId w:val="16"/>
        </w:numPr>
        <w:jc w:val="both"/>
        <w:rPr>
          <w:rFonts w:ascii="Verdana" w:hAnsi="Verdana"/>
        </w:rPr>
      </w:pPr>
      <w:r w:rsidRPr="00484FBF">
        <w:rPr>
          <w:rFonts w:ascii="Verdana" w:hAnsi="Verdana"/>
        </w:rPr>
        <w:t>poslovno poročilo za leto 2017;</w:t>
      </w:r>
    </w:p>
    <w:p w14:paraId="03EC71B1" w14:textId="77777777" w:rsidR="001D50DD" w:rsidRPr="00484FBF" w:rsidRDefault="001D50DD" w:rsidP="001D50DD">
      <w:pPr>
        <w:pStyle w:val="Brezrazmikov"/>
        <w:numPr>
          <w:ilvl w:val="0"/>
          <w:numId w:val="16"/>
        </w:numPr>
        <w:jc w:val="both"/>
        <w:rPr>
          <w:rFonts w:ascii="Verdana" w:hAnsi="Verdana"/>
        </w:rPr>
      </w:pPr>
      <w:r w:rsidRPr="00484FBF">
        <w:rPr>
          <w:rFonts w:ascii="Verdana" w:hAnsi="Verdana"/>
        </w:rPr>
        <w:t>poročilo o delu in poslovanju agencije v letu 2017 na 128. seji maja 2018;</w:t>
      </w:r>
    </w:p>
    <w:p w14:paraId="20D255D7" w14:textId="77777777" w:rsidR="001D50DD" w:rsidRPr="00484FBF" w:rsidRDefault="001D50DD" w:rsidP="001D50DD">
      <w:pPr>
        <w:pStyle w:val="Brezrazmikov"/>
        <w:numPr>
          <w:ilvl w:val="0"/>
          <w:numId w:val="16"/>
        </w:numPr>
        <w:jc w:val="both"/>
        <w:rPr>
          <w:rFonts w:ascii="Verdana" w:hAnsi="Verdana"/>
        </w:rPr>
      </w:pPr>
      <w:r w:rsidRPr="00484FBF">
        <w:rPr>
          <w:rFonts w:ascii="Verdana" w:hAnsi="Verdana"/>
        </w:rPr>
        <w:lastRenderedPageBreak/>
        <w:t>LDN 2018 na 131. seji 20. septembra 2018;</w:t>
      </w:r>
    </w:p>
    <w:p w14:paraId="4033D7F8" w14:textId="77777777" w:rsidR="001D50DD" w:rsidRPr="00484FBF" w:rsidRDefault="001D50DD" w:rsidP="001D50DD">
      <w:pPr>
        <w:pStyle w:val="Brezrazmikov"/>
        <w:numPr>
          <w:ilvl w:val="0"/>
          <w:numId w:val="16"/>
        </w:numPr>
        <w:jc w:val="both"/>
        <w:rPr>
          <w:rFonts w:ascii="Verdana" w:hAnsi="Verdana"/>
        </w:rPr>
      </w:pPr>
      <w:r w:rsidRPr="00484FBF">
        <w:rPr>
          <w:rFonts w:ascii="Verdana" w:hAnsi="Verdana"/>
        </w:rPr>
        <w:t>LDN 2019 na 134. seji 20. decembra 2018;</w:t>
      </w:r>
    </w:p>
    <w:p w14:paraId="1FF12E25" w14:textId="77777777" w:rsidR="001D50DD" w:rsidRPr="00484FBF" w:rsidRDefault="001D50DD" w:rsidP="001D50DD">
      <w:pPr>
        <w:pStyle w:val="Brezrazmikov"/>
        <w:numPr>
          <w:ilvl w:val="0"/>
          <w:numId w:val="16"/>
        </w:numPr>
        <w:jc w:val="both"/>
        <w:rPr>
          <w:rFonts w:ascii="Verdana" w:hAnsi="Verdana"/>
        </w:rPr>
      </w:pPr>
      <w:r w:rsidRPr="00484FBF">
        <w:rPr>
          <w:rFonts w:ascii="Verdana" w:hAnsi="Verdana"/>
        </w:rPr>
        <w:t>dopolnitev poslovnika o svojem delu (Poslovnik o delu Sveta Nacionalne agencije Republike Slovenije za kakovost v visokem šolstvu) glede izločevanja članov pri odločanju, da bi se izognili vsakršnemu dvomu o pristranskosti, na 126. seji 17. aprila</w:t>
      </w:r>
      <w:r w:rsidR="008C0599" w:rsidRPr="00484FBF">
        <w:rPr>
          <w:rFonts w:ascii="Verdana" w:hAnsi="Verdana"/>
        </w:rPr>
        <w:t>.</w:t>
      </w:r>
      <w:r w:rsidRPr="00484FBF">
        <w:rPr>
          <w:rFonts w:ascii="Verdana" w:hAnsi="Verdana"/>
        </w:rPr>
        <w:t xml:space="preserve"> </w:t>
      </w:r>
    </w:p>
    <w:p w14:paraId="02840E3F" w14:textId="77777777" w:rsidR="008F79CD" w:rsidRPr="00484FBF" w:rsidRDefault="008F79CD" w:rsidP="008F79CD">
      <w:pPr>
        <w:pStyle w:val="Brezrazmikov"/>
        <w:jc w:val="both"/>
        <w:rPr>
          <w:rFonts w:ascii="Verdana" w:hAnsi="Verdana"/>
        </w:rPr>
      </w:pPr>
    </w:p>
    <w:p w14:paraId="1F234155" w14:textId="77777777" w:rsidR="008F79CD" w:rsidRPr="00484FBF" w:rsidRDefault="008F79CD" w:rsidP="008F79CD">
      <w:pPr>
        <w:pStyle w:val="Brezrazmikov"/>
        <w:jc w:val="both"/>
        <w:rPr>
          <w:rFonts w:ascii="Verdana" w:hAnsi="Verdana"/>
          <w:b/>
        </w:rPr>
      </w:pPr>
      <w:r w:rsidRPr="00484FBF">
        <w:rPr>
          <w:rFonts w:ascii="Verdana" w:hAnsi="Verdana"/>
          <w:b/>
        </w:rPr>
        <w:t>Spremembe meril</w:t>
      </w:r>
      <w:r w:rsidR="00465B4A" w:rsidRPr="00484FBF">
        <w:rPr>
          <w:rFonts w:ascii="Verdana" w:hAnsi="Verdana"/>
          <w:b/>
        </w:rPr>
        <w:t xml:space="preserve"> in drugih predpisov</w:t>
      </w:r>
    </w:p>
    <w:p w14:paraId="268E276F" w14:textId="77777777" w:rsidR="008F79CD" w:rsidRPr="00484FBF" w:rsidRDefault="008F79CD" w:rsidP="008F79CD">
      <w:pPr>
        <w:pStyle w:val="Brezrazmikov"/>
        <w:jc w:val="both"/>
        <w:rPr>
          <w:rFonts w:ascii="Verdana" w:hAnsi="Verdana"/>
        </w:rPr>
      </w:pPr>
      <w:r w:rsidRPr="00484FBF">
        <w:rPr>
          <w:rFonts w:ascii="Verdana" w:hAnsi="Verdana"/>
        </w:rPr>
        <w:t xml:space="preserve"> </w:t>
      </w:r>
    </w:p>
    <w:p w14:paraId="368B97BB" w14:textId="77777777" w:rsidR="006838EC" w:rsidRPr="00484FBF" w:rsidRDefault="008F79CD" w:rsidP="008F79CD">
      <w:pPr>
        <w:pStyle w:val="Brezrazmikov"/>
        <w:jc w:val="both"/>
        <w:rPr>
          <w:rFonts w:ascii="Verdana" w:hAnsi="Verdana"/>
        </w:rPr>
      </w:pPr>
      <w:r w:rsidRPr="00484FBF">
        <w:rPr>
          <w:rFonts w:ascii="Verdana" w:hAnsi="Verdana"/>
        </w:rPr>
        <w:t xml:space="preserve">Svet agencije je veliko svojega dela namenil tudi </w:t>
      </w:r>
      <w:r w:rsidRPr="00484FBF">
        <w:rPr>
          <w:rFonts w:ascii="Verdana" w:hAnsi="Verdana"/>
          <w:b/>
        </w:rPr>
        <w:t>sprejemanju novih aktov oziroma nujnemu spreminjanju meril</w:t>
      </w:r>
      <w:r w:rsidRPr="00484FBF">
        <w:rPr>
          <w:rFonts w:ascii="Verdana" w:hAnsi="Verdana"/>
        </w:rPr>
        <w:t xml:space="preserve"> (</w:t>
      </w:r>
      <w:r w:rsidR="006838EC" w:rsidRPr="00484FBF">
        <w:rPr>
          <w:rFonts w:ascii="Verdana" w:hAnsi="Verdana"/>
        </w:rPr>
        <w:t>z</w:t>
      </w:r>
      <w:r w:rsidRPr="00484FBF">
        <w:rPr>
          <w:rFonts w:ascii="Verdana" w:hAnsi="Verdana"/>
        </w:rPr>
        <w:t xml:space="preserve">aradi sprememb zakonodaje). </w:t>
      </w:r>
      <w:r w:rsidR="006838EC" w:rsidRPr="00484FBF">
        <w:rPr>
          <w:rFonts w:ascii="Verdana" w:hAnsi="Verdana"/>
        </w:rPr>
        <w:t>P</w:t>
      </w:r>
      <w:r w:rsidRPr="00484FBF">
        <w:rPr>
          <w:rFonts w:ascii="Verdana" w:hAnsi="Verdana"/>
        </w:rPr>
        <w:t xml:space="preserve">o  usklajevanjih z deležniki </w:t>
      </w:r>
      <w:r w:rsidR="006838EC" w:rsidRPr="00484FBF">
        <w:rPr>
          <w:rFonts w:ascii="Verdana" w:hAnsi="Verdana"/>
        </w:rPr>
        <w:t xml:space="preserve">je </w:t>
      </w:r>
      <w:r w:rsidRPr="00484FBF">
        <w:rPr>
          <w:rFonts w:ascii="Verdana" w:hAnsi="Verdana"/>
        </w:rPr>
        <w:t xml:space="preserve">sprejel </w:t>
      </w:r>
      <w:r w:rsidR="006838EC" w:rsidRPr="00484FBF">
        <w:rPr>
          <w:rFonts w:ascii="Verdana" w:hAnsi="Verdana"/>
        </w:rPr>
        <w:t>nova:</w:t>
      </w:r>
    </w:p>
    <w:p w14:paraId="2448A293" w14:textId="60696918" w:rsidR="006838EC" w:rsidRPr="00484FBF" w:rsidRDefault="008F79CD" w:rsidP="006838EC">
      <w:pPr>
        <w:pStyle w:val="Brezrazmikov"/>
        <w:numPr>
          <w:ilvl w:val="0"/>
          <w:numId w:val="17"/>
        </w:numPr>
        <w:jc w:val="both"/>
        <w:rPr>
          <w:rFonts w:ascii="Verdana" w:hAnsi="Verdana"/>
        </w:rPr>
      </w:pPr>
      <w:r w:rsidRPr="00484FBF">
        <w:rPr>
          <w:rFonts w:ascii="Verdana" w:hAnsi="Verdana"/>
        </w:rPr>
        <w:t xml:space="preserve">Merila za </w:t>
      </w:r>
      <w:r w:rsidR="006838EC" w:rsidRPr="00484FBF">
        <w:rPr>
          <w:rFonts w:ascii="Verdana" w:hAnsi="Verdana"/>
        </w:rPr>
        <w:t xml:space="preserve">zunanjo evalvacijo višjih strokovnih šol </w:t>
      </w:r>
      <w:r w:rsidR="00FF066D" w:rsidRPr="00484FBF">
        <w:rPr>
          <w:rFonts w:ascii="Verdana" w:hAnsi="Verdana"/>
        </w:rPr>
        <w:t xml:space="preserve">na 124. seji 15. </w:t>
      </w:r>
      <w:r w:rsidR="006838EC" w:rsidRPr="00484FBF">
        <w:rPr>
          <w:rFonts w:ascii="Verdana" w:hAnsi="Verdana"/>
        </w:rPr>
        <w:t xml:space="preserve">marca </w:t>
      </w:r>
      <w:r w:rsidR="002C0341" w:rsidRPr="00484FBF">
        <w:rPr>
          <w:rFonts w:ascii="Verdana" w:hAnsi="Verdana"/>
        </w:rPr>
        <w:t xml:space="preserve">in </w:t>
      </w:r>
      <w:r w:rsidR="00FF066D" w:rsidRPr="00484FBF">
        <w:rPr>
          <w:rFonts w:ascii="Verdana" w:hAnsi="Verdana"/>
        </w:rPr>
        <w:t>manjšo spremembo glede sestave skupin strokovnjakov na 132. seji 18. oktobra</w:t>
      </w:r>
      <w:r w:rsidR="002C0341" w:rsidRPr="00484FBF">
        <w:rPr>
          <w:rFonts w:ascii="Verdana" w:hAnsi="Verdana"/>
        </w:rPr>
        <w:t xml:space="preserve"> </w:t>
      </w:r>
      <w:r w:rsidR="006838EC" w:rsidRPr="00484FBF">
        <w:rPr>
          <w:rFonts w:ascii="Verdana" w:hAnsi="Verdana"/>
        </w:rPr>
        <w:t>2018;</w:t>
      </w:r>
    </w:p>
    <w:p w14:paraId="11919960" w14:textId="77777777" w:rsidR="008F79CD" w:rsidRPr="00484FBF" w:rsidRDefault="006838EC" w:rsidP="006838EC">
      <w:pPr>
        <w:pStyle w:val="Brezrazmikov"/>
        <w:numPr>
          <w:ilvl w:val="0"/>
          <w:numId w:val="17"/>
        </w:numPr>
        <w:jc w:val="both"/>
        <w:rPr>
          <w:rFonts w:ascii="Verdana" w:hAnsi="Verdana"/>
        </w:rPr>
      </w:pPr>
      <w:r w:rsidRPr="00484FBF">
        <w:rPr>
          <w:rFonts w:ascii="Verdana" w:hAnsi="Verdana"/>
        </w:rPr>
        <w:t>Merila za strokovnjake agencije</w:t>
      </w:r>
      <w:r w:rsidR="00FF066D" w:rsidRPr="00484FBF">
        <w:rPr>
          <w:rFonts w:ascii="Verdana" w:hAnsi="Verdana"/>
        </w:rPr>
        <w:t xml:space="preserve"> prav tako na marčevski seji</w:t>
      </w:r>
      <w:r w:rsidR="008F79CD" w:rsidRPr="00484FBF">
        <w:rPr>
          <w:rFonts w:ascii="Verdana" w:hAnsi="Verdana"/>
        </w:rPr>
        <w:t>.</w:t>
      </w:r>
    </w:p>
    <w:p w14:paraId="19B5C5A7" w14:textId="77777777" w:rsidR="006838EC" w:rsidRPr="00484FBF" w:rsidRDefault="006838EC" w:rsidP="006838EC">
      <w:pPr>
        <w:pStyle w:val="Brezrazmikov"/>
        <w:jc w:val="both"/>
        <w:rPr>
          <w:rFonts w:ascii="Verdana" w:hAnsi="Verdana"/>
        </w:rPr>
      </w:pPr>
    </w:p>
    <w:p w14:paraId="6D6C5FF9" w14:textId="77777777" w:rsidR="006838EC" w:rsidRPr="00484FBF" w:rsidRDefault="006838EC" w:rsidP="006838EC">
      <w:pPr>
        <w:pStyle w:val="Brezrazmikov"/>
        <w:jc w:val="both"/>
        <w:rPr>
          <w:rFonts w:ascii="Verdana" w:hAnsi="Verdana"/>
        </w:rPr>
      </w:pPr>
      <w:r w:rsidRPr="00484FBF">
        <w:rPr>
          <w:rFonts w:ascii="Verdana" w:hAnsi="Verdana"/>
        </w:rPr>
        <w:t>Obravnaval je še predlog</w:t>
      </w:r>
      <w:r w:rsidR="00B060B4" w:rsidRPr="00484FBF">
        <w:rPr>
          <w:rFonts w:ascii="Verdana" w:hAnsi="Verdana"/>
        </w:rPr>
        <w:t>e</w:t>
      </w:r>
      <w:r w:rsidRPr="00484FBF">
        <w:rPr>
          <w:rFonts w:ascii="Verdana" w:hAnsi="Verdana"/>
        </w:rPr>
        <w:t xml:space="preserve"> za spremembo:</w:t>
      </w:r>
    </w:p>
    <w:p w14:paraId="71AAB828" w14:textId="6E9BD878" w:rsidR="006838EC" w:rsidRPr="00484FBF" w:rsidRDefault="006838EC" w:rsidP="006838EC">
      <w:pPr>
        <w:pStyle w:val="Brezrazmikov"/>
        <w:numPr>
          <w:ilvl w:val="0"/>
          <w:numId w:val="18"/>
        </w:numPr>
        <w:jc w:val="both"/>
        <w:rPr>
          <w:rFonts w:ascii="Verdana" w:hAnsi="Verdana"/>
        </w:rPr>
      </w:pPr>
      <w:r w:rsidRPr="00484FBF">
        <w:rPr>
          <w:rFonts w:ascii="Verdana" w:hAnsi="Verdana"/>
        </w:rPr>
        <w:t>Minimalnih standardov za izvolitev v nazive</w:t>
      </w:r>
      <w:r w:rsidR="00897FFA" w:rsidRPr="00484FBF">
        <w:rPr>
          <w:rFonts w:ascii="Verdana" w:hAnsi="Verdana"/>
        </w:rPr>
        <w:t xml:space="preserve"> visokošolskih učiteljev, znanstvenih delavcev in visokošolskih sodelavcev na visokošolskih zavodih</w:t>
      </w:r>
      <w:r w:rsidR="00B060B4" w:rsidRPr="00484FBF">
        <w:rPr>
          <w:rFonts w:ascii="Verdana" w:hAnsi="Verdana"/>
        </w:rPr>
        <w:t>; prva predstavitev predloga za spremembe je bila na 131. seji 20. septembra 2018, po pripombah deležnikov ga je</w:t>
      </w:r>
      <w:r w:rsidRPr="00484FBF">
        <w:rPr>
          <w:rFonts w:ascii="Verdana" w:hAnsi="Verdana"/>
        </w:rPr>
        <w:t xml:space="preserve"> </w:t>
      </w:r>
      <w:r w:rsidR="00B060B4" w:rsidRPr="00484FBF">
        <w:rPr>
          <w:rFonts w:ascii="Verdana" w:hAnsi="Verdana"/>
        </w:rPr>
        <w:t xml:space="preserve">obravnaval še na treh sejah in na 134. seji decembra 2018 odločil, da </w:t>
      </w:r>
      <w:r w:rsidR="00375D65" w:rsidRPr="00484FBF">
        <w:rPr>
          <w:rFonts w:ascii="Verdana" w:hAnsi="Verdana"/>
        </w:rPr>
        <w:t>agencija</w:t>
      </w:r>
      <w:r w:rsidR="006436CE" w:rsidRPr="00484FBF">
        <w:rPr>
          <w:rFonts w:ascii="Verdana" w:hAnsi="Verdana"/>
        </w:rPr>
        <w:t xml:space="preserve"> </w:t>
      </w:r>
      <w:r w:rsidR="00911F52" w:rsidRPr="00484FBF">
        <w:rPr>
          <w:rFonts w:ascii="Verdana" w:hAnsi="Verdana"/>
        </w:rPr>
        <w:t xml:space="preserve">pred odločitvijo o nadaljnjih korakih </w:t>
      </w:r>
      <w:r w:rsidR="006436CE" w:rsidRPr="00484FBF">
        <w:rPr>
          <w:rFonts w:ascii="Verdana" w:hAnsi="Verdana"/>
        </w:rPr>
        <w:t xml:space="preserve">pripravi analizo pripomb </w:t>
      </w:r>
      <w:r w:rsidR="00911F52" w:rsidRPr="00484FBF">
        <w:rPr>
          <w:rFonts w:ascii="Verdana" w:hAnsi="Verdana"/>
        </w:rPr>
        <w:t>deležnikov;</w:t>
      </w:r>
    </w:p>
    <w:p w14:paraId="3D67DB88" w14:textId="6BCC658F" w:rsidR="00B060B4" w:rsidRPr="00484FBF" w:rsidRDefault="006838EC" w:rsidP="006838EC">
      <w:pPr>
        <w:pStyle w:val="Brezrazmikov"/>
        <w:numPr>
          <w:ilvl w:val="0"/>
          <w:numId w:val="18"/>
        </w:numPr>
        <w:jc w:val="both"/>
        <w:rPr>
          <w:rFonts w:ascii="Verdana" w:hAnsi="Verdana"/>
        </w:rPr>
      </w:pPr>
      <w:r w:rsidRPr="00484FBF">
        <w:rPr>
          <w:rFonts w:ascii="Verdana" w:hAnsi="Verdana"/>
        </w:rPr>
        <w:t>Meril za akreditacijo in zunanjo evalvacijo visokošolskih zavodov in študijskih programov v delu, ki se nanaša na presojo standardov kakovosti glede doktorskih študijskih programov</w:t>
      </w:r>
      <w:r w:rsidR="00375D65" w:rsidRPr="00484FBF">
        <w:rPr>
          <w:rFonts w:ascii="Verdana" w:hAnsi="Verdana"/>
        </w:rPr>
        <w:t xml:space="preserve"> in akreditacijo spremembe lokacije izvajanja študijskih programov</w:t>
      </w:r>
      <w:r w:rsidR="00B060B4" w:rsidRPr="00484FBF">
        <w:rPr>
          <w:rFonts w:ascii="Verdana" w:hAnsi="Verdana"/>
        </w:rPr>
        <w:t xml:space="preserve">; prva predstavitev predloga je </w:t>
      </w:r>
      <w:r w:rsidR="00911F52" w:rsidRPr="00484FBF">
        <w:rPr>
          <w:rFonts w:ascii="Verdana" w:hAnsi="Verdana"/>
        </w:rPr>
        <w:t xml:space="preserve">bila </w:t>
      </w:r>
      <w:r w:rsidR="00B060B4" w:rsidRPr="00484FBF">
        <w:rPr>
          <w:rFonts w:ascii="Verdana" w:hAnsi="Verdana"/>
        </w:rPr>
        <w:t>prav tako na septembrski seji, njegove spremembe obravnavane na decembrski seji;</w:t>
      </w:r>
    </w:p>
    <w:p w14:paraId="545DB3C4" w14:textId="77777777" w:rsidR="006838EC" w:rsidRPr="00484FBF" w:rsidRDefault="00BA008E" w:rsidP="006838EC">
      <w:pPr>
        <w:pStyle w:val="Brezrazmikov"/>
        <w:numPr>
          <w:ilvl w:val="0"/>
          <w:numId w:val="18"/>
        </w:numPr>
        <w:jc w:val="both"/>
        <w:rPr>
          <w:rFonts w:ascii="Verdana" w:hAnsi="Verdana"/>
        </w:rPr>
      </w:pPr>
      <w:r w:rsidRPr="00484FBF">
        <w:rPr>
          <w:rFonts w:ascii="Verdana" w:hAnsi="Verdana"/>
        </w:rPr>
        <w:t>Meril za prehode med študijskimi programi; prva obravnava je bila na 132. seji 18. oktobra 2018, druga pa na decembrski seji</w:t>
      </w:r>
      <w:r w:rsidR="006838EC" w:rsidRPr="00484FBF">
        <w:rPr>
          <w:rFonts w:ascii="Verdana" w:hAnsi="Verdana"/>
        </w:rPr>
        <w:t>.</w:t>
      </w:r>
    </w:p>
    <w:p w14:paraId="29C64B5C" w14:textId="77777777" w:rsidR="009F2893" w:rsidRPr="00484FBF" w:rsidRDefault="009F2893" w:rsidP="009F2893">
      <w:pPr>
        <w:pStyle w:val="Brezrazmikov"/>
        <w:jc w:val="both"/>
        <w:rPr>
          <w:rFonts w:ascii="Verdana" w:hAnsi="Verdana"/>
        </w:rPr>
      </w:pPr>
    </w:p>
    <w:p w14:paraId="3745C424" w14:textId="77777777" w:rsidR="001C3F01" w:rsidRPr="00484FBF" w:rsidRDefault="001C3F01" w:rsidP="001C3F01">
      <w:pPr>
        <w:pStyle w:val="Brezrazmikov"/>
        <w:rPr>
          <w:rFonts w:ascii="Verdana" w:hAnsi="Verdana"/>
          <w:b/>
        </w:rPr>
      </w:pPr>
      <w:r w:rsidRPr="00484FBF">
        <w:rPr>
          <w:rFonts w:ascii="Verdana" w:hAnsi="Verdana"/>
          <w:b/>
        </w:rPr>
        <w:t>Tematske obravnave</w:t>
      </w:r>
    </w:p>
    <w:p w14:paraId="0A826A01" w14:textId="77777777" w:rsidR="001C3F01" w:rsidRPr="00484FBF" w:rsidRDefault="001C3F01" w:rsidP="001C3F01">
      <w:pPr>
        <w:pStyle w:val="Brezrazmikov"/>
        <w:ind w:left="720"/>
        <w:rPr>
          <w:rFonts w:ascii="Verdana" w:hAnsi="Verdana"/>
        </w:rPr>
      </w:pPr>
    </w:p>
    <w:p w14:paraId="4829626F" w14:textId="54E57325" w:rsidR="00FD3EC9" w:rsidRPr="00484FBF" w:rsidRDefault="00FD3EC9" w:rsidP="00FD3EC9">
      <w:pPr>
        <w:jc w:val="both"/>
        <w:rPr>
          <w:rFonts w:ascii="Verdana" w:eastAsia="Cambria" w:hAnsi="Verdana" w:cs="Calibri"/>
        </w:rPr>
      </w:pPr>
      <w:r w:rsidRPr="00484FBF">
        <w:rPr>
          <w:rFonts w:ascii="Verdana" w:eastAsia="Cambria" w:hAnsi="Verdana" w:cs="Calibri"/>
        </w:rPr>
        <w:t xml:space="preserve">Svet je v letu 2018 na vsako sejo uvrstil tudi posebno točko, </w:t>
      </w:r>
      <w:r w:rsidR="00FE40E5" w:rsidRPr="00484FBF">
        <w:rPr>
          <w:rFonts w:ascii="Verdana" w:eastAsia="Cambria" w:hAnsi="Verdana" w:cs="Calibri"/>
        </w:rPr>
        <w:t>pri</w:t>
      </w:r>
      <w:r w:rsidRPr="00484FBF">
        <w:rPr>
          <w:rFonts w:ascii="Verdana" w:eastAsia="Cambria" w:hAnsi="Verdana" w:cs="Calibri"/>
        </w:rPr>
        <w:t xml:space="preserve"> kateri je poglobljeno obravnaval različno tematiko, povezano predvsem z analitičnim in razvojnim delom agencije ter njeno prepoznavnostjo v javnosti. S</w:t>
      </w:r>
      <w:r w:rsidR="000B0CCE">
        <w:rPr>
          <w:rFonts w:ascii="Verdana" w:eastAsia="Cambria" w:hAnsi="Verdana" w:cs="Calibri"/>
        </w:rPr>
        <w:t>eznanil se je s</w:t>
      </w:r>
      <w:r w:rsidR="00E21BD2">
        <w:rPr>
          <w:rFonts w:ascii="Verdana" w:eastAsia="Cambria" w:hAnsi="Verdana" w:cs="Calibri"/>
        </w:rPr>
        <w:t>/z</w:t>
      </w:r>
      <w:r w:rsidRPr="00484FBF">
        <w:rPr>
          <w:rFonts w:ascii="Verdana" w:eastAsia="Cambria" w:hAnsi="Verdana" w:cs="Calibri"/>
        </w:rPr>
        <w:t>:</w:t>
      </w:r>
    </w:p>
    <w:p w14:paraId="76B20D65" w14:textId="77777777" w:rsidR="00FD3EC9" w:rsidRPr="00484FBF" w:rsidRDefault="00810463" w:rsidP="00FD3EC9">
      <w:pPr>
        <w:pStyle w:val="Odstavekseznama"/>
        <w:numPr>
          <w:ilvl w:val="0"/>
          <w:numId w:val="24"/>
        </w:numPr>
        <w:jc w:val="both"/>
        <w:rPr>
          <w:rFonts w:ascii="Verdana" w:hAnsi="Verdana"/>
          <w:b/>
        </w:rPr>
      </w:pPr>
      <w:r w:rsidRPr="00484FBF">
        <w:rPr>
          <w:rFonts w:ascii="Verdana" w:eastAsia="Cambria" w:hAnsi="Verdana" w:cs="Calibri"/>
        </w:rPr>
        <w:t>Sistemsk</w:t>
      </w:r>
      <w:r w:rsidR="00FD3EC9" w:rsidRPr="00484FBF">
        <w:rPr>
          <w:rFonts w:ascii="Verdana" w:eastAsia="Cambria" w:hAnsi="Verdana" w:cs="Calibri"/>
        </w:rPr>
        <w:t>o</w:t>
      </w:r>
      <w:r w:rsidRPr="00484FBF">
        <w:rPr>
          <w:rFonts w:ascii="Verdana" w:eastAsia="Cambria" w:hAnsi="Verdana" w:cs="Calibri"/>
        </w:rPr>
        <w:t xml:space="preserve"> analiz</w:t>
      </w:r>
      <w:r w:rsidR="00FD3EC9" w:rsidRPr="00484FBF">
        <w:rPr>
          <w:rFonts w:ascii="Verdana" w:eastAsia="Cambria" w:hAnsi="Verdana" w:cs="Calibri"/>
        </w:rPr>
        <w:t>o</w:t>
      </w:r>
      <w:r w:rsidRPr="00484FBF">
        <w:rPr>
          <w:rFonts w:ascii="Verdana" w:eastAsia="Cambria" w:hAnsi="Verdana" w:cs="Calibri"/>
        </w:rPr>
        <w:t xml:space="preserve"> kakovosti v visokem in višjem strokovnem šolstvu 2014–2017</w:t>
      </w:r>
      <w:r w:rsidR="00FD3EC9" w:rsidRPr="00484FBF">
        <w:rPr>
          <w:rFonts w:ascii="Verdana" w:eastAsia="Cambria" w:hAnsi="Verdana" w:cs="Calibri"/>
        </w:rPr>
        <w:t>, v kateri so</w:t>
      </w:r>
      <w:r w:rsidRPr="00484FBF">
        <w:rPr>
          <w:rFonts w:ascii="Verdana" w:eastAsia="Cambria" w:hAnsi="Verdana" w:cs="Calibri"/>
        </w:rPr>
        <w:t xml:space="preserve"> </w:t>
      </w:r>
      <w:r w:rsidR="00FD3EC9" w:rsidRPr="00484FBF">
        <w:rPr>
          <w:rFonts w:ascii="Verdana" w:eastAsia="Cambria" w:hAnsi="Verdana" w:cs="Calibri"/>
        </w:rPr>
        <w:t xml:space="preserve">prikazani </w:t>
      </w:r>
      <w:r w:rsidRPr="00484FBF">
        <w:rPr>
          <w:rFonts w:ascii="Verdana" w:eastAsia="Cambria" w:hAnsi="Verdana" w:cs="Calibri"/>
        </w:rPr>
        <w:t>splošno stanje kakovosti v terciarnem izobraževanju na podlagi ugotovitev skupin strokovnjakov ter evalvacijske prakse strokovnjakov in komisij za samoevalvacije na višjih strokovnih šolah in visokošolskih zavodih</w:t>
      </w:r>
      <w:r w:rsidR="00FD3EC9" w:rsidRPr="00484FBF">
        <w:rPr>
          <w:rFonts w:ascii="Verdana" w:eastAsia="Cambria" w:hAnsi="Verdana" w:cs="Calibri"/>
        </w:rPr>
        <w:t>; in na tej podlagi</w:t>
      </w:r>
    </w:p>
    <w:p w14:paraId="27B8CA10" w14:textId="4B8EF4E1" w:rsidR="00FD3EC9" w:rsidRPr="00484FBF" w:rsidRDefault="00FD3EC9" w:rsidP="00FD3EC9">
      <w:pPr>
        <w:pStyle w:val="Odstavekseznama"/>
        <w:numPr>
          <w:ilvl w:val="0"/>
          <w:numId w:val="24"/>
        </w:numPr>
        <w:jc w:val="both"/>
        <w:rPr>
          <w:rFonts w:ascii="Verdana" w:eastAsia="Cambria" w:hAnsi="Verdana" w:cs="Calibri"/>
        </w:rPr>
      </w:pPr>
      <w:r w:rsidRPr="00484FBF">
        <w:rPr>
          <w:rFonts w:ascii="Verdana" w:eastAsia="BatangChe" w:hAnsi="Verdana"/>
        </w:rPr>
        <w:t>poročilo</w:t>
      </w:r>
      <w:r w:rsidR="00E21BD2">
        <w:rPr>
          <w:rFonts w:ascii="Verdana" w:eastAsia="BatangChe" w:hAnsi="Verdana"/>
        </w:rPr>
        <w:t>m</w:t>
      </w:r>
      <w:r w:rsidRPr="00484FBF">
        <w:rPr>
          <w:rFonts w:ascii="Verdana" w:eastAsia="BatangChe" w:hAnsi="Verdana"/>
        </w:rPr>
        <w:t xml:space="preserve"> z naslovom Kakovost kadrov v slovenskem visokem šolstvu od 2014 do 2017 ter</w:t>
      </w:r>
    </w:p>
    <w:p w14:paraId="772C90B7" w14:textId="29C642B6" w:rsidR="00AC7706" w:rsidRPr="00484FBF" w:rsidRDefault="00FD3EC9" w:rsidP="00FD3EC9">
      <w:pPr>
        <w:pStyle w:val="Odstavekseznama"/>
        <w:numPr>
          <w:ilvl w:val="0"/>
          <w:numId w:val="24"/>
        </w:numPr>
        <w:jc w:val="both"/>
        <w:rPr>
          <w:rFonts w:ascii="Verdana" w:eastAsia="Cambria" w:hAnsi="Verdana" w:cs="Calibri"/>
        </w:rPr>
      </w:pPr>
      <w:r w:rsidRPr="00484FBF">
        <w:rPr>
          <w:rFonts w:ascii="Verdana" w:hAnsi="Verdana"/>
        </w:rPr>
        <w:lastRenderedPageBreak/>
        <w:t>m</w:t>
      </w:r>
      <w:r w:rsidR="00AC7706" w:rsidRPr="00484FBF">
        <w:rPr>
          <w:rFonts w:ascii="Verdana" w:hAnsi="Verdana"/>
        </w:rPr>
        <w:t>etodologij</w:t>
      </w:r>
      <w:r w:rsidRPr="00484FBF">
        <w:rPr>
          <w:rFonts w:ascii="Verdana" w:hAnsi="Verdana"/>
        </w:rPr>
        <w:t>o</w:t>
      </w:r>
      <w:r w:rsidR="00AC7706" w:rsidRPr="00484FBF">
        <w:rPr>
          <w:rFonts w:ascii="Verdana" w:hAnsi="Verdana"/>
        </w:rPr>
        <w:t xml:space="preserve"> in postopk</w:t>
      </w:r>
      <w:r w:rsidR="00E21BD2">
        <w:rPr>
          <w:rFonts w:ascii="Verdana" w:hAnsi="Verdana"/>
        </w:rPr>
        <w:t>om</w:t>
      </w:r>
      <w:r w:rsidR="00AC7706" w:rsidRPr="00484FBF">
        <w:rPr>
          <w:rFonts w:ascii="Verdana" w:hAnsi="Verdana"/>
        </w:rPr>
        <w:t xml:space="preserve"> za pripravo in </w:t>
      </w:r>
      <w:proofErr w:type="spellStart"/>
      <w:r w:rsidR="00AC7706" w:rsidRPr="00484FBF">
        <w:rPr>
          <w:rFonts w:ascii="Verdana" w:hAnsi="Verdana"/>
        </w:rPr>
        <w:t>diseminacijo</w:t>
      </w:r>
      <w:proofErr w:type="spellEnd"/>
      <w:r w:rsidR="00AC7706" w:rsidRPr="00484FBF">
        <w:rPr>
          <w:rFonts w:ascii="Verdana" w:hAnsi="Verdana"/>
        </w:rPr>
        <w:t xml:space="preserve"> sistemskih ter tematskih analiz</w:t>
      </w:r>
      <w:r w:rsidRPr="00484FBF">
        <w:rPr>
          <w:rFonts w:ascii="Verdana" w:hAnsi="Verdana"/>
        </w:rPr>
        <w:t>.</w:t>
      </w:r>
    </w:p>
    <w:p w14:paraId="03B8B292" w14:textId="77777777" w:rsidR="00FE40E5" w:rsidRPr="00484FBF" w:rsidRDefault="00FD3EC9" w:rsidP="00FD3EC9">
      <w:pPr>
        <w:pStyle w:val="Brezrazmikov"/>
        <w:jc w:val="both"/>
        <w:rPr>
          <w:rFonts w:ascii="Verdana" w:hAnsi="Verdana"/>
        </w:rPr>
      </w:pPr>
      <w:r w:rsidRPr="00484FBF">
        <w:rPr>
          <w:rFonts w:ascii="Verdana" w:hAnsi="Verdana"/>
        </w:rPr>
        <w:t>Obravnaval je še</w:t>
      </w:r>
      <w:r w:rsidR="00FE40E5" w:rsidRPr="00484FBF">
        <w:rPr>
          <w:rFonts w:ascii="Verdana" w:hAnsi="Verdana"/>
        </w:rPr>
        <w:t>:</w:t>
      </w:r>
    </w:p>
    <w:p w14:paraId="5FA748B4" w14:textId="77777777" w:rsidR="001C3F01" w:rsidRPr="00484FBF" w:rsidRDefault="00FD3EC9" w:rsidP="00FE40E5">
      <w:pPr>
        <w:pStyle w:val="Brezrazmikov"/>
        <w:numPr>
          <w:ilvl w:val="0"/>
          <w:numId w:val="25"/>
        </w:numPr>
        <w:jc w:val="both"/>
        <w:rPr>
          <w:rFonts w:ascii="Verdana" w:hAnsi="Verdana"/>
        </w:rPr>
      </w:pPr>
      <w:r w:rsidRPr="00484FBF">
        <w:rPr>
          <w:rFonts w:ascii="Verdana" w:hAnsi="Verdana"/>
        </w:rPr>
        <w:t>p</w:t>
      </w:r>
      <w:r w:rsidR="001C3F01" w:rsidRPr="00484FBF">
        <w:rPr>
          <w:rFonts w:ascii="Verdana" w:hAnsi="Verdana"/>
        </w:rPr>
        <w:t>ostopkovnik</w:t>
      </w:r>
      <w:r w:rsidRPr="00484FBF">
        <w:rPr>
          <w:rFonts w:ascii="Verdana" w:hAnsi="Verdana"/>
        </w:rPr>
        <w:t>e</w:t>
      </w:r>
      <w:r w:rsidR="00FE40E5" w:rsidRPr="00484FBF">
        <w:rPr>
          <w:rFonts w:ascii="Verdana" w:hAnsi="Verdana"/>
        </w:rPr>
        <w:t xml:space="preserve"> o akreditacijah in evalvacijah v visokem in višjem šolstvu</w:t>
      </w:r>
      <w:r w:rsidR="001C3F01" w:rsidRPr="00484FBF">
        <w:rPr>
          <w:rFonts w:ascii="Verdana" w:hAnsi="Verdana"/>
        </w:rPr>
        <w:t xml:space="preserve"> </w:t>
      </w:r>
      <w:r w:rsidR="00FE40E5" w:rsidRPr="00484FBF">
        <w:rPr>
          <w:rFonts w:ascii="Verdana" w:hAnsi="Verdana"/>
        </w:rPr>
        <w:t>ter</w:t>
      </w:r>
      <w:r w:rsidR="001C3F01" w:rsidRPr="00484FBF">
        <w:rPr>
          <w:rFonts w:ascii="Verdana" w:hAnsi="Verdana"/>
        </w:rPr>
        <w:t xml:space="preserve"> </w:t>
      </w:r>
      <w:r w:rsidR="00FE40E5" w:rsidRPr="00484FBF">
        <w:rPr>
          <w:rFonts w:ascii="Verdana" w:hAnsi="Verdana"/>
        </w:rPr>
        <w:t xml:space="preserve">sprejel </w:t>
      </w:r>
      <w:r w:rsidR="001C3F01" w:rsidRPr="00484FBF">
        <w:rPr>
          <w:rFonts w:ascii="Verdana" w:hAnsi="Verdana"/>
        </w:rPr>
        <w:t>z njimi povezan</w:t>
      </w:r>
      <w:r w:rsidR="00FE40E5" w:rsidRPr="00484FBF">
        <w:rPr>
          <w:rFonts w:ascii="Verdana" w:hAnsi="Verdana"/>
        </w:rPr>
        <w:t>e</w:t>
      </w:r>
      <w:r w:rsidR="001C3F01" w:rsidRPr="00484FBF">
        <w:rPr>
          <w:rFonts w:ascii="Verdana" w:hAnsi="Verdana"/>
        </w:rPr>
        <w:t xml:space="preserve"> spreme</w:t>
      </w:r>
      <w:r w:rsidR="00FE40E5" w:rsidRPr="00484FBF">
        <w:rPr>
          <w:rFonts w:ascii="Verdana" w:hAnsi="Verdana"/>
        </w:rPr>
        <w:t>mbe pri delu</w:t>
      </w:r>
      <w:r w:rsidR="001C3F01" w:rsidRPr="00484FBF">
        <w:rPr>
          <w:rFonts w:ascii="Verdana" w:hAnsi="Verdana"/>
        </w:rPr>
        <w:t xml:space="preserve"> sveta (npr. odprava nekaterih komisij</w:t>
      </w:r>
      <w:r w:rsidR="00FE40E5" w:rsidRPr="00484FBF">
        <w:rPr>
          <w:rFonts w:ascii="Verdana" w:hAnsi="Verdana"/>
        </w:rPr>
        <w:t xml:space="preserve"> sveta</w:t>
      </w:r>
      <w:r w:rsidR="001C3F01" w:rsidRPr="00484FBF">
        <w:rPr>
          <w:rFonts w:ascii="Verdana" w:hAnsi="Verdana"/>
        </w:rPr>
        <w:t>)</w:t>
      </w:r>
      <w:r w:rsidR="00FE40E5" w:rsidRPr="00484FBF">
        <w:rPr>
          <w:rFonts w:ascii="Verdana" w:hAnsi="Verdana"/>
        </w:rPr>
        <w:t>;</w:t>
      </w:r>
      <w:r w:rsidR="001C3F01" w:rsidRPr="00484FBF">
        <w:rPr>
          <w:rFonts w:ascii="Verdana" w:hAnsi="Verdana"/>
        </w:rPr>
        <w:t xml:space="preserve"> </w:t>
      </w:r>
    </w:p>
    <w:p w14:paraId="2F9D0E0A" w14:textId="77777777" w:rsidR="001D50DD" w:rsidRPr="00484FBF" w:rsidRDefault="001D50DD" w:rsidP="00FD3EC9">
      <w:pPr>
        <w:pStyle w:val="Brezrazmikov"/>
        <w:numPr>
          <w:ilvl w:val="0"/>
          <w:numId w:val="16"/>
        </w:numPr>
        <w:jc w:val="both"/>
        <w:rPr>
          <w:rFonts w:ascii="Verdana" w:hAnsi="Verdana"/>
        </w:rPr>
      </w:pPr>
      <w:r w:rsidRPr="00484FBF">
        <w:rPr>
          <w:rFonts w:ascii="Verdana" w:hAnsi="Verdana"/>
        </w:rPr>
        <w:t>novo predstavitveno brošuro agencije;</w:t>
      </w:r>
    </w:p>
    <w:p w14:paraId="373057A5" w14:textId="77777777" w:rsidR="00FE40E5" w:rsidRPr="00484FBF" w:rsidRDefault="00FE40E5" w:rsidP="001C3F01">
      <w:pPr>
        <w:pStyle w:val="Brezrazmikov"/>
        <w:numPr>
          <w:ilvl w:val="0"/>
          <w:numId w:val="15"/>
        </w:numPr>
        <w:jc w:val="both"/>
        <w:rPr>
          <w:rFonts w:ascii="Verdana" w:hAnsi="Verdana"/>
        </w:rPr>
      </w:pPr>
      <w:r w:rsidRPr="00484FBF">
        <w:rPr>
          <w:rFonts w:ascii="Verdana" w:hAnsi="Verdana"/>
        </w:rPr>
        <w:t>problematiko v zvezi z akreditacijo članice univerze...</w:t>
      </w:r>
    </w:p>
    <w:p w14:paraId="549F2FC1" w14:textId="77777777" w:rsidR="00FE40E5" w:rsidRPr="00484FBF" w:rsidRDefault="00FE40E5" w:rsidP="00FE40E5">
      <w:pPr>
        <w:pStyle w:val="Brezrazmikov"/>
        <w:jc w:val="both"/>
        <w:rPr>
          <w:rFonts w:ascii="Verdana" w:hAnsi="Verdana"/>
        </w:rPr>
      </w:pPr>
    </w:p>
    <w:p w14:paraId="79F7DEA5" w14:textId="77777777" w:rsidR="00477536" w:rsidRPr="00484FBF" w:rsidRDefault="00FE40E5" w:rsidP="00FE40E5">
      <w:pPr>
        <w:pStyle w:val="Brezrazmikov"/>
        <w:jc w:val="both"/>
        <w:rPr>
          <w:rFonts w:ascii="Verdana" w:hAnsi="Verdana"/>
        </w:rPr>
      </w:pPr>
      <w:r w:rsidRPr="00484FBF">
        <w:rPr>
          <w:rFonts w:ascii="Verdana" w:hAnsi="Verdana"/>
        </w:rPr>
        <w:t>Svet je v tem letu prvič določil vzorec študijskih programov za tako imenovano evalvacijo vzorca</w:t>
      </w:r>
      <w:r w:rsidR="0044117E" w:rsidRPr="00484FBF">
        <w:rPr>
          <w:rFonts w:ascii="Verdana" w:hAnsi="Verdana"/>
        </w:rPr>
        <w:t>, ki jo je treba v skladu z ZViS in merili opraviti vsako leto</w:t>
      </w:r>
      <w:r w:rsidRPr="00484FBF">
        <w:rPr>
          <w:rFonts w:ascii="Verdana" w:hAnsi="Verdana"/>
        </w:rPr>
        <w:t xml:space="preserve">. Gre za novo nalogo sveta oziroma agencije, o kateri je pred končno določitvijo vzorca </w:t>
      </w:r>
      <w:r w:rsidR="0044117E" w:rsidRPr="00484FBF">
        <w:rPr>
          <w:rFonts w:ascii="Verdana" w:hAnsi="Verdana"/>
        </w:rPr>
        <w:t xml:space="preserve">na 134. seji 20. decembra </w:t>
      </w:r>
      <w:r w:rsidRPr="00484FBF">
        <w:rPr>
          <w:rFonts w:ascii="Verdana" w:hAnsi="Verdana"/>
        </w:rPr>
        <w:t>razpravljal na več sejah</w:t>
      </w:r>
      <w:r w:rsidR="0044117E" w:rsidRPr="00484FBF">
        <w:rPr>
          <w:rFonts w:ascii="Verdana" w:hAnsi="Verdana"/>
        </w:rPr>
        <w:t>.</w:t>
      </w:r>
    </w:p>
    <w:p w14:paraId="3525507C" w14:textId="77777777" w:rsidR="00FE40E5" w:rsidRPr="00FE40E5" w:rsidRDefault="00FE40E5" w:rsidP="00FE40E5">
      <w:pPr>
        <w:pStyle w:val="Brezrazmikov"/>
        <w:jc w:val="both"/>
        <w:rPr>
          <w:rFonts w:ascii="Verdana" w:hAnsi="Verdana"/>
        </w:rPr>
      </w:pPr>
    </w:p>
    <w:p w14:paraId="738D784A" w14:textId="77777777" w:rsidR="001D50DD" w:rsidRPr="00484FBF" w:rsidRDefault="001D50DD" w:rsidP="001D50DD">
      <w:pPr>
        <w:pStyle w:val="Brezrazmikov"/>
        <w:rPr>
          <w:rFonts w:ascii="Verdana" w:hAnsi="Verdana"/>
          <w:b/>
        </w:rPr>
      </w:pPr>
      <w:r w:rsidRPr="00484FBF">
        <w:rPr>
          <w:rFonts w:ascii="Verdana" w:hAnsi="Verdana"/>
          <w:b/>
        </w:rPr>
        <w:t>Strokovnjaki, usposabljanje, posveti</w:t>
      </w:r>
    </w:p>
    <w:p w14:paraId="154CA785" w14:textId="77777777" w:rsidR="001D50DD" w:rsidRPr="00484FBF" w:rsidRDefault="001D50DD" w:rsidP="001D50DD">
      <w:pPr>
        <w:pStyle w:val="Brezrazmikov"/>
        <w:rPr>
          <w:rFonts w:ascii="Verdana" w:hAnsi="Verdana"/>
        </w:rPr>
      </w:pPr>
    </w:p>
    <w:p w14:paraId="38C35DE0" w14:textId="1B61036E" w:rsidR="001D50DD" w:rsidRPr="00484FBF" w:rsidRDefault="001D50DD" w:rsidP="001D50DD">
      <w:pPr>
        <w:pStyle w:val="Brezrazmikov"/>
        <w:jc w:val="both"/>
        <w:rPr>
          <w:rFonts w:ascii="Verdana" w:hAnsi="Verdana"/>
        </w:rPr>
      </w:pPr>
      <w:r w:rsidRPr="00484FBF">
        <w:rPr>
          <w:rFonts w:ascii="Verdana" w:hAnsi="Verdana"/>
        </w:rPr>
        <w:t xml:space="preserve">Nekateri člani sveta agencije so se </w:t>
      </w:r>
      <w:r w:rsidR="00911F52" w:rsidRPr="00484FBF">
        <w:rPr>
          <w:rFonts w:ascii="Verdana" w:hAnsi="Verdana"/>
        </w:rPr>
        <w:t xml:space="preserve">jeseni 2018 </w:t>
      </w:r>
      <w:r w:rsidRPr="00484FBF">
        <w:rPr>
          <w:rFonts w:ascii="Verdana" w:hAnsi="Verdana"/>
        </w:rPr>
        <w:t>udeležili posebnih usposabljanj strokovnjakov agencije za presojo kakovosti po novih merilih.</w:t>
      </w:r>
    </w:p>
    <w:p w14:paraId="39F53BEF" w14:textId="77777777" w:rsidR="001D50DD" w:rsidRPr="00484FBF" w:rsidRDefault="001D50DD" w:rsidP="001D50DD">
      <w:pPr>
        <w:pStyle w:val="Brezrazmikov"/>
        <w:jc w:val="both"/>
        <w:rPr>
          <w:rFonts w:ascii="Verdana" w:hAnsi="Verdana"/>
        </w:rPr>
      </w:pPr>
      <w:r w:rsidRPr="00484FBF">
        <w:rPr>
          <w:rFonts w:ascii="Verdana" w:hAnsi="Verdana"/>
        </w:rPr>
        <w:t>Svet agencije se je sproti seznanjal tudi s pomanjkanjem strokovnjakov študentov ter razpravljal o težavah, ki jih ima agencija ob tem. Za kandidate študente je bila oktobra organizirana posebna delavnica.</w:t>
      </w:r>
    </w:p>
    <w:p w14:paraId="10090656" w14:textId="77777777" w:rsidR="008F79CD" w:rsidRPr="00484FBF" w:rsidRDefault="008F79CD" w:rsidP="008F79CD">
      <w:pPr>
        <w:pStyle w:val="Brezrazmikov"/>
        <w:jc w:val="both"/>
        <w:rPr>
          <w:rFonts w:ascii="Verdana" w:eastAsia="BatangChe" w:hAnsi="Verdana"/>
        </w:rPr>
      </w:pPr>
    </w:p>
    <w:p w14:paraId="4544C1CC" w14:textId="77777777" w:rsidR="008F79CD" w:rsidRPr="004120C2" w:rsidRDefault="008F79CD" w:rsidP="008F79CD">
      <w:pPr>
        <w:pStyle w:val="Brezrazmikov"/>
        <w:jc w:val="both"/>
        <w:rPr>
          <w:rFonts w:ascii="Verdana" w:eastAsia="BatangChe" w:hAnsi="Verdana"/>
        </w:rPr>
      </w:pPr>
    </w:p>
    <w:p w14:paraId="79CB7D8E" w14:textId="77777777" w:rsidR="008F79CD" w:rsidRPr="00473A35" w:rsidRDefault="00D577A1" w:rsidP="00A83BF0">
      <w:pPr>
        <w:pStyle w:val="Naslov2"/>
      </w:pPr>
      <w:bookmarkStart w:id="15" w:name="_Toc2157285"/>
      <w:r>
        <w:t>II.2</w:t>
      </w:r>
      <w:r w:rsidR="008F79CD" w:rsidRPr="00473A35">
        <w:t xml:space="preserve"> PRITOŽBENA KOMISIJA</w:t>
      </w:r>
      <w:bookmarkEnd w:id="15"/>
    </w:p>
    <w:p w14:paraId="0923E145" w14:textId="5B886C5C" w:rsidR="004B3BEA" w:rsidRPr="00DD4308" w:rsidRDefault="0082356D" w:rsidP="008F79CD">
      <w:pPr>
        <w:jc w:val="both"/>
      </w:pPr>
      <w:r w:rsidRPr="00DE074C">
        <w:rPr>
          <w:rFonts w:ascii="Verdana" w:hAnsi="Verdana"/>
        </w:rPr>
        <w:t xml:space="preserve">Glede na število vloženih pritožb v letih 2016 (tri) in 2017 (ena) je mogoče ugotoviti, da je bilo v letu 2018 vloženih nekaj več pritožb zoper odločitve, ki jih je sprejel svet. Pritožbena komisija se je v letu 2018 sestala na treh sejah, na katerih je odločila o šestih zadevah. </w:t>
      </w:r>
    </w:p>
    <w:p w14:paraId="30858869" w14:textId="2EAEC3ED" w:rsidR="00DE074C" w:rsidRPr="00DE074C" w:rsidRDefault="00DE074C" w:rsidP="00DE074C">
      <w:pPr>
        <w:jc w:val="both"/>
        <w:rPr>
          <w:rFonts w:ascii="Verdana" w:hAnsi="Verdana"/>
        </w:rPr>
      </w:pPr>
      <w:r w:rsidRPr="00DE074C">
        <w:rPr>
          <w:rFonts w:ascii="Verdana" w:hAnsi="Verdana"/>
        </w:rPr>
        <w:t xml:space="preserve">V začetku leta je odločila o pritožbi zoper odločitev, s katero je svet zavrnil vlogo za akreditacijo novega visokošolskega zavoda. Pritožbi je ugodila in zadevo vrnila svetu v ponovno presojo in odločitev. Po vrnitvi zadeve in novi odločitvi sveta agencije je pritožbena komisija o njej </w:t>
      </w:r>
      <w:r w:rsidR="00037416">
        <w:rPr>
          <w:rFonts w:ascii="Verdana" w:hAnsi="Verdana"/>
        </w:rPr>
        <w:t xml:space="preserve">spet </w:t>
      </w:r>
      <w:r w:rsidRPr="00DE074C">
        <w:rPr>
          <w:rFonts w:ascii="Verdana" w:hAnsi="Verdana"/>
        </w:rPr>
        <w:t xml:space="preserve">odločala. Ugotovila je, da svet ni sledil njenim navodilom glede nadaljnjega postopanja, zato je ob upoštevanju načela ekonomičnosti postopka zadevo ponovno vrnila v obravnavo svetu agencije, da ugotovi pravilno in popolno dejansko stanje, in mu naložila, da ji po opravljenih dejanjih zadevo vrne, da bo o njej odločila sama. Omenjeni postopek tako v letu 2018 še ni bil zaključen. </w:t>
      </w:r>
    </w:p>
    <w:p w14:paraId="0DCEF273" w14:textId="5A9A4754" w:rsidR="00DE074C" w:rsidRPr="00DE074C" w:rsidRDefault="00DE074C" w:rsidP="00DE074C">
      <w:pPr>
        <w:jc w:val="both"/>
        <w:rPr>
          <w:rFonts w:ascii="Verdana" w:hAnsi="Verdana"/>
        </w:rPr>
      </w:pPr>
      <w:r w:rsidRPr="00DE074C">
        <w:rPr>
          <w:rFonts w:ascii="Verdana" w:hAnsi="Verdana"/>
        </w:rPr>
        <w:t xml:space="preserve">Pritožbena komisija je odločala tudi o dveh zadevah v zvezi z vlogo za prvo akreditacijo študijskega programa. Zadevi sta </w:t>
      </w:r>
      <w:r w:rsidR="009153BE">
        <w:rPr>
          <w:rFonts w:ascii="Verdana" w:hAnsi="Verdana"/>
        </w:rPr>
        <w:t xml:space="preserve">si </w:t>
      </w:r>
      <w:r w:rsidRPr="00DE074C">
        <w:rPr>
          <w:rFonts w:ascii="Verdana" w:hAnsi="Verdana"/>
        </w:rPr>
        <w:t xml:space="preserve">bili podobni, saj je bil v obeh primerih vlagatelj isti. Svet agencije je v obeh zadevah vlogo zavrgel zaradi svoje nepristojnosti za odločanje. Pritožbena komisija se s takšno odločitvijo ni strinjala in je v obeh zadevah pritožbi ugodila, izpodbijani sklep odpravila in zadevo vrnila svetu agencije v ponovno </w:t>
      </w:r>
      <w:r w:rsidRPr="00DE074C">
        <w:rPr>
          <w:rFonts w:ascii="Verdana" w:hAnsi="Verdana"/>
        </w:rPr>
        <w:lastRenderedPageBreak/>
        <w:t xml:space="preserve">odločanje. Svet agencije v nobeni od zadev v ponovljenem postopku v letu 2018 še ni odločil. </w:t>
      </w:r>
    </w:p>
    <w:p w14:paraId="5737D222" w14:textId="6D38F660" w:rsidR="00DE074C" w:rsidRPr="00DE074C" w:rsidRDefault="00DE074C" w:rsidP="00DE074C">
      <w:pPr>
        <w:jc w:val="both"/>
        <w:rPr>
          <w:rFonts w:ascii="Verdana" w:hAnsi="Verdana"/>
        </w:rPr>
      </w:pPr>
      <w:r w:rsidRPr="00DE074C">
        <w:rPr>
          <w:rFonts w:ascii="Verdana" w:hAnsi="Verdana"/>
        </w:rPr>
        <w:t>Tudi obravnava v zvezi z zahtevo vlagatelja za obnovo postopka za podaljšanje akreditacije študijske</w:t>
      </w:r>
      <w:r w:rsidR="009153BE">
        <w:rPr>
          <w:rFonts w:ascii="Verdana" w:hAnsi="Verdana"/>
        </w:rPr>
        <w:t>mu</w:t>
      </w:r>
      <w:r w:rsidRPr="00DE074C">
        <w:rPr>
          <w:rFonts w:ascii="Verdana" w:hAnsi="Verdana"/>
        </w:rPr>
        <w:t xml:space="preserve"> program</w:t>
      </w:r>
      <w:r w:rsidR="009153BE">
        <w:rPr>
          <w:rFonts w:ascii="Verdana" w:hAnsi="Verdana"/>
        </w:rPr>
        <w:t>u</w:t>
      </w:r>
      <w:r w:rsidRPr="00DE074C">
        <w:rPr>
          <w:rFonts w:ascii="Verdana" w:hAnsi="Verdana"/>
        </w:rPr>
        <w:t xml:space="preserve"> v delu, ki se nanaša na eno od lokacij izvajanja študijskega programa, v letu 2018 še ni bila zaključena. Pritožbena komisija je pritožbi zoper odločitev sveta agencije, s katero je ta zavrgel predlog pritožnika za delno obnovo postopka podaljšanja akreditacije študijskega programa, ugodila, izpodbijani sklep pa odpravila in zadevo vrnila svetu agencije v ponovno odločanje.     </w:t>
      </w:r>
    </w:p>
    <w:p w14:paraId="13855093" w14:textId="76723AFF" w:rsidR="00DE074C" w:rsidRPr="00DE074C" w:rsidRDefault="00DE074C" w:rsidP="00DE074C">
      <w:pPr>
        <w:jc w:val="both"/>
        <w:rPr>
          <w:rFonts w:ascii="Verdana" w:hAnsi="Verdana"/>
        </w:rPr>
      </w:pPr>
      <w:r w:rsidRPr="00DE074C">
        <w:rPr>
          <w:rFonts w:ascii="Verdana" w:hAnsi="Verdana"/>
        </w:rPr>
        <w:t>Pritožbena komisija je obravnavala tudi zadevo v zvezi s pritožbo zoper odločitev sveta agencije, s katero ta ni podaljšal akreditacije študijske</w:t>
      </w:r>
      <w:r w:rsidR="009153BE">
        <w:rPr>
          <w:rFonts w:ascii="Verdana" w:hAnsi="Verdana"/>
        </w:rPr>
        <w:t>mu</w:t>
      </w:r>
      <w:r w:rsidRPr="00DE074C">
        <w:rPr>
          <w:rFonts w:ascii="Verdana" w:hAnsi="Verdana"/>
        </w:rPr>
        <w:t xml:space="preserve"> program</w:t>
      </w:r>
      <w:r w:rsidR="009153BE">
        <w:rPr>
          <w:rFonts w:ascii="Verdana" w:hAnsi="Verdana"/>
        </w:rPr>
        <w:t>u</w:t>
      </w:r>
      <w:r w:rsidRPr="00DE074C">
        <w:rPr>
          <w:rFonts w:ascii="Verdana" w:hAnsi="Verdana"/>
        </w:rPr>
        <w:t xml:space="preserve">. Presodila je, da je svet agencije sprejel pravilno odločitev, zato jo je potrdila. </w:t>
      </w:r>
    </w:p>
    <w:p w14:paraId="3845E7C9" w14:textId="54C52161" w:rsidR="00DE074C" w:rsidRPr="00DE074C" w:rsidRDefault="00DE074C" w:rsidP="00DE074C">
      <w:pPr>
        <w:jc w:val="both"/>
        <w:rPr>
          <w:rFonts w:ascii="Verdana" w:hAnsi="Verdana"/>
        </w:rPr>
      </w:pPr>
      <w:r w:rsidRPr="00DE074C">
        <w:rPr>
          <w:rFonts w:ascii="Verdana" w:hAnsi="Verdana"/>
        </w:rPr>
        <w:t>Med najpomembnejše poudarke, ki jih je pritožbena komisija zapisala glede izpodbijanih odločb sveta agencije v letu 2018</w:t>
      </w:r>
      <w:r>
        <w:rPr>
          <w:rFonts w:ascii="Verdana" w:hAnsi="Verdana"/>
        </w:rPr>
        <w:t>,</w:t>
      </w:r>
      <w:r w:rsidRPr="00DE074C">
        <w:rPr>
          <w:rFonts w:ascii="Verdana" w:hAnsi="Verdana"/>
        </w:rPr>
        <w:t xml:space="preserve"> s</w:t>
      </w:r>
      <w:r>
        <w:rPr>
          <w:rFonts w:ascii="Verdana" w:hAnsi="Verdana"/>
        </w:rPr>
        <w:t>padajo</w:t>
      </w:r>
      <w:r w:rsidRPr="00DE074C">
        <w:rPr>
          <w:rFonts w:ascii="Verdana" w:hAnsi="Verdana"/>
        </w:rPr>
        <w:t>:</w:t>
      </w:r>
    </w:p>
    <w:p w14:paraId="6CD9DDF0" w14:textId="064A7912" w:rsidR="00DE074C" w:rsidRPr="00DE074C" w:rsidRDefault="00DE074C" w:rsidP="00DE074C">
      <w:pPr>
        <w:pStyle w:val="Odstavekseznama"/>
        <w:numPr>
          <w:ilvl w:val="0"/>
          <w:numId w:val="43"/>
        </w:numPr>
        <w:spacing w:after="0"/>
        <w:jc w:val="both"/>
        <w:rPr>
          <w:rFonts w:ascii="Verdana" w:hAnsi="Verdana"/>
        </w:rPr>
      </w:pPr>
      <w:r w:rsidRPr="00DE074C">
        <w:rPr>
          <w:rFonts w:ascii="Verdana" w:hAnsi="Verdana"/>
        </w:rPr>
        <w:t xml:space="preserve">izpolnjevanje </w:t>
      </w:r>
      <w:r w:rsidR="009153BE">
        <w:rPr>
          <w:rFonts w:ascii="Verdana" w:hAnsi="Verdana"/>
        </w:rPr>
        <w:t>meril</w:t>
      </w:r>
      <w:r w:rsidRPr="00DE074C">
        <w:rPr>
          <w:rFonts w:ascii="Verdana" w:hAnsi="Verdana"/>
        </w:rPr>
        <w:t xml:space="preserve"> za podaljšanje akreditacije (študijskega programa ali visokošolskega zavoda) se presoja za celotno akreditacijsko obdobje, torej od dokončnosti odločbe o akreditaciji študijskega programa do presoje v postopku o podaljšanju njegove akreditacije; </w:t>
      </w:r>
    </w:p>
    <w:p w14:paraId="7D242ACF" w14:textId="77777777" w:rsidR="00DE074C" w:rsidRPr="00DE074C" w:rsidRDefault="00DE074C" w:rsidP="00DE074C">
      <w:pPr>
        <w:pStyle w:val="Odstavekseznama"/>
        <w:numPr>
          <w:ilvl w:val="0"/>
          <w:numId w:val="43"/>
        </w:numPr>
        <w:spacing w:after="0"/>
        <w:jc w:val="both"/>
        <w:rPr>
          <w:rFonts w:ascii="Verdana" w:hAnsi="Verdana"/>
        </w:rPr>
      </w:pPr>
      <w:r w:rsidRPr="00DE074C">
        <w:rPr>
          <w:rFonts w:ascii="Verdana" w:hAnsi="Verdana"/>
        </w:rPr>
        <w:t>popravni sklep iz 223. člena ZUP je mogoče sprejeti le za popravo tehničnih pomot v odločbi (pomote v imenih in številkah, pisne, računske pomote in druge očitne pomote v odločbi), ne pa tudi zmot v izjavi volje organa. S popravo pomote se tako ne sme ustvarjati ničesar novega, zato se s popravnim sklepom odločitve tudi ne dopolnjuje, saj ima tak sklep že naravo dopolnilne odločbe v smislu 220. člena ZUP;</w:t>
      </w:r>
    </w:p>
    <w:p w14:paraId="6F8B3351" w14:textId="77777777" w:rsidR="00DE074C" w:rsidRPr="00DE074C" w:rsidRDefault="00DE074C" w:rsidP="00DE074C">
      <w:pPr>
        <w:pStyle w:val="Odstavekseznama"/>
        <w:numPr>
          <w:ilvl w:val="0"/>
          <w:numId w:val="43"/>
        </w:numPr>
        <w:spacing w:after="0"/>
        <w:jc w:val="both"/>
        <w:rPr>
          <w:rFonts w:ascii="Verdana" w:hAnsi="Verdana"/>
        </w:rPr>
      </w:pPr>
      <w:r w:rsidRPr="00DE074C">
        <w:rPr>
          <w:rFonts w:ascii="Verdana" w:hAnsi="Verdana"/>
        </w:rPr>
        <w:t>če iz podatkov v spisu izhaja, da prvostopni organ ob ponovnem odločanju ni sledil opozorilom pritožbenega organa o potrebni dopolnitvi postopka in ni ravnal v skladu z njegovo izdano odločbo, ima ta možnost skladno s četrtim odstavkom 251. člena ZUP sam odločiti o zadevi, pri čemer lahko zaradi načela ekonomičnosti in hitrosti postopka naloži organu prve stopnje, da v določenem roku opravi posamezna procesna dejanja in mu pošlje zbrane podatke;</w:t>
      </w:r>
    </w:p>
    <w:p w14:paraId="4A3CAED3" w14:textId="62C99F6F" w:rsidR="00DE074C" w:rsidRPr="00DE074C" w:rsidRDefault="00DE074C" w:rsidP="00DE074C">
      <w:pPr>
        <w:pStyle w:val="Odstavekseznama"/>
        <w:numPr>
          <w:ilvl w:val="0"/>
          <w:numId w:val="43"/>
        </w:numPr>
        <w:spacing w:after="0"/>
        <w:jc w:val="both"/>
        <w:rPr>
          <w:rFonts w:ascii="Verdana" w:hAnsi="Verdana"/>
        </w:rPr>
      </w:pPr>
      <w:r w:rsidRPr="00DE074C">
        <w:rPr>
          <w:rFonts w:ascii="Verdana" w:hAnsi="Verdana"/>
        </w:rPr>
        <w:t xml:space="preserve">iz poročila skupine strokovnjakov mora biti razvidno, katero je prvo in katero je končno. V konkretnem primeru se naslovnici in zapisi v obeh poročilih </w:t>
      </w:r>
      <w:r w:rsidR="00B16F06">
        <w:rPr>
          <w:rFonts w:ascii="Verdana" w:hAnsi="Verdana"/>
        </w:rPr>
        <w:t>po</w:t>
      </w:r>
      <w:r w:rsidRPr="00DE074C">
        <w:rPr>
          <w:rFonts w:ascii="Verdana" w:hAnsi="Verdana"/>
        </w:rPr>
        <w:t xml:space="preserve"> posameznih področjih presoje niso razlikovali ne po datumu ne po kakšnem drugem zapisu, pa čeprav je za to očitno dana možnost na prvi strani spodaj, v okvirčku »opombe agencije«.</w:t>
      </w:r>
    </w:p>
    <w:p w14:paraId="33276F3D" w14:textId="77777777" w:rsidR="00632926" w:rsidRDefault="00632926" w:rsidP="00C96D02"/>
    <w:p w14:paraId="203552C9" w14:textId="77777777" w:rsidR="00C96D02" w:rsidRDefault="00C96D02" w:rsidP="00C96D02"/>
    <w:p w14:paraId="38B5BA3E" w14:textId="77777777" w:rsidR="00C96D02" w:rsidRDefault="00C96D02" w:rsidP="00C96D02"/>
    <w:p w14:paraId="0AE33FD8" w14:textId="77777777" w:rsidR="0022192B" w:rsidRPr="001E7AA3" w:rsidRDefault="00C0437B" w:rsidP="001E7AA3">
      <w:pPr>
        <w:pStyle w:val="Naslov"/>
        <w:rPr>
          <w:sz w:val="32"/>
        </w:rPr>
      </w:pPr>
      <w:bookmarkStart w:id="16" w:name="_Toc2157286"/>
      <w:r>
        <w:rPr>
          <w:sz w:val="32"/>
        </w:rPr>
        <w:lastRenderedPageBreak/>
        <w:t xml:space="preserve">III </w:t>
      </w:r>
      <w:r w:rsidR="009120AB" w:rsidRPr="001E7AA3">
        <w:rPr>
          <w:sz w:val="32"/>
        </w:rPr>
        <w:t>AKREDITACIJ</w:t>
      </w:r>
      <w:r w:rsidR="00B9562B" w:rsidRPr="001E7AA3">
        <w:rPr>
          <w:sz w:val="32"/>
        </w:rPr>
        <w:t>E</w:t>
      </w:r>
      <w:r w:rsidR="009120AB" w:rsidRPr="001E7AA3">
        <w:rPr>
          <w:sz w:val="32"/>
        </w:rPr>
        <w:t xml:space="preserve"> IN EVALVACIJ</w:t>
      </w:r>
      <w:r w:rsidR="00B9562B" w:rsidRPr="001E7AA3">
        <w:rPr>
          <w:sz w:val="32"/>
        </w:rPr>
        <w:t>E</w:t>
      </w:r>
      <w:r w:rsidR="009120AB" w:rsidRPr="001E7AA3">
        <w:rPr>
          <w:sz w:val="32"/>
        </w:rPr>
        <w:t xml:space="preserve"> </w:t>
      </w:r>
      <w:r w:rsidR="00B9562B" w:rsidRPr="001E7AA3">
        <w:rPr>
          <w:sz w:val="32"/>
        </w:rPr>
        <w:t xml:space="preserve">V </w:t>
      </w:r>
      <w:r w:rsidR="009120AB" w:rsidRPr="001E7AA3">
        <w:rPr>
          <w:sz w:val="32"/>
        </w:rPr>
        <w:t>VISOK</w:t>
      </w:r>
      <w:r w:rsidR="00B9562B" w:rsidRPr="001E7AA3">
        <w:rPr>
          <w:sz w:val="32"/>
        </w:rPr>
        <w:t xml:space="preserve">EM </w:t>
      </w:r>
      <w:r w:rsidR="0044117E">
        <w:rPr>
          <w:sz w:val="32"/>
        </w:rPr>
        <w:t>IN</w:t>
      </w:r>
      <w:r w:rsidR="00B9562B" w:rsidRPr="001E7AA3">
        <w:rPr>
          <w:sz w:val="32"/>
        </w:rPr>
        <w:t xml:space="preserve"> VIŠJEM ŠOLSTVU</w:t>
      </w:r>
      <w:bookmarkEnd w:id="16"/>
    </w:p>
    <w:p w14:paraId="4B14FC4A" w14:textId="77777777" w:rsidR="0022192B" w:rsidRDefault="0022192B" w:rsidP="00C96D02"/>
    <w:p w14:paraId="7F1F6CE9" w14:textId="77777777" w:rsidR="003D7AF8" w:rsidRPr="001530DF" w:rsidRDefault="003D7AF8" w:rsidP="003D7AF8">
      <w:pPr>
        <w:spacing w:after="0" w:line="240" w:lineRule="auto"/>
        <w:jc w:val="both"/>
        <w:rPr>
          <w:rFonts w:ascii="Verdana" w:eastAsia="Cambria" w:hAnsi="Verdana" w:cs="Calibri"/>
          <w:b/>
          <w:sz w:val="24"/>
          <w:szCs w:val="24"/>
        </w:rPr>
      </w:pPr>
      <w:r>
        <w:rPr>
          <w:rFonts w:ascii="Verdana" w:eastAsia="Cambria" w:hAnsi="Verdana" w:cs="Calibri"/>
          <w:b/>
          <w:sz w:val="24"/>
          <w:szCs w:val="24"/>
        </w:rPr>
        <w:t>A</w:t>
      </w:r>
      <w:r w:rsidRPr="001530DF">
        <w:rPr>
          <w:rFonts w:ascii="Verdana" w:eastAsia="Cambria" w:hAnsi="Verdana" w:cs="Calibri"/>
          <w:b/>
          <w:sz w:val="24"/>
          <w:szCs w:val="24"/>
        </w:rPr>
        <w:t>kreditacij</w:t>
      </w:r>
      <w:r>
        <w:rPr>
          <w:rFonts w:ascii="Verdana" w:eastAsia="Cambria" w:hAnsi="Verdana" w:cs="Calibri"/>
          <w:b/>
          <w:sz w:val="24"/>
          <w:szCs w:val="24"/>
        </w:rPr>
        <w:t>ske odločitve</w:t>
      </w:r>
      <w:r w:rsidRPr="001530DF">
        <w:rPr>
          <w:rFonts w:ascii="Verdana" w:eastAsia="Cambria" w:hAnsi="Verdana" w:cs="Calibri"/>
          <w:b/>
          <w:sz w:val="24"/>
          <w:szCs w:val="24"/>
        </w:rPr>
        <w:t xml:space="preserve"> v visokem šolstvu</w:t>
      </w:r>
    </w:p>
    <w:p w14:paraId="73A2122A" w14:textId="77777777" w:rsidR="003D7AF8" w:rsidRDefault="003D7AF8" w:rsidP="003D7AF8">
      <w:pPr>
        <w:spacing w:after="0" w:line="240" w:lineRule="auto"/>
        <w:jc w:val="both"/>
        <w:rPr>
          <w:rFonts w:ascii="Verdana" w:eastAsia="Cambria" w:hAnsi="Verdana" w:cs="Calibri"/>
          <w:b/>
        </w:rPr>
      </w:pPr>
    </w:p>
    <w:p w14:paraId="2B9FC846" w14:textId="77777777" w:rsidR="003D7AF8" w:rsidRPr="001530DF" w:rsidRDefault="003D7AF8" w:rsidP="003D7AF8">
      <w:pPr>
        <w:spacing w:after="0" w:line="240" w:lineRule="auto"/>
        <w:jc w:val="both"/>
        <w:rPr>
          <w:rFonts w:ascii="Verdana" w:eastAsia="Cambria" w:hAnsi="Verdana" w:cs="Calibri"/>
        </w:rPr>
      </w:pPr>
      <w:r>
        <w:rPr>
          <w:rFonts w:ascii="Verdana" w:eastAsia="Cambria" w:hAnsi="Verdana" w:cs="Calibri"/>
        </w:rPr>
        <w:t>Svet agencije</w:t>
      </w:r>
      <w:r w:rsidRPr="001530DF">
        <w:rPr>
          <w:rFonts w:ascii="Verdana" w:eastAsia="Cambria" w:hAnsi="Verdana" w:cs="Calibri"/>
        </w:rPr>
        <w:t xml:space="preserve"> je </w:t>
      </w:r>
      <w:r>
        <w:rPr>
          <w:rFonts w:ascii="Verdana" w:eastAsia="Cambria" w:hAnsi="Verdana" w:cs="Calibri"/>
        </w:rPr>
        <w:t>leta 2018</w:t>
      </w:r>
      <w:r w:rsidRPr="001530DF">
        <w:rPr>
          <w:rFonts w:ascii="Verdana" w:eastAsia="Cambria" w:hAnsi="Verdana" w:cs="Calibri"/>
        </w:rPr>
        <w:t>:</w:t>
      </w:r>
    </w:p>
    <w:p w14:paraId="2BD2F860" w14:textId="77777777" w:rsidR="003D7AF8" w:rsidRPr="00EA4DF1" w:rsidRDefault="003D7AF8" w:rsidP="003D7AF8">
      <w:pPr>
        <w:numPr>
          <w:ilvl w:val="0"/>
          <w:numId w:val="31"/>
        </w:numPr>
        <w:spacing w:after="0" w:line="240" w:lineRule="auto"/>
        <w:jc w:val="both"/>
        <w:rPr>
          <w:rFonts w:ascii="Verdana" w:eastAsia="Cambria" w:hAnsi="Verdana" w:cs="Calibri"/>
        </w:rPr>
      </w:pPr>
      <w:r w:rsidRPr="001530DF">
        <w:rPr>
          <w:rFonts w:ascii="Verdana" w:eastAsia="Cambria" w:hAnsi="Verdana" w:cs="Calibri"/>
        </w:rPr>
        <w:t xml:space="preserve">podelil akreditacijo </w:t>
      </w:r>
      <w:r>
        <w:rPr>
          <w:rFonts w:ascii="Verdana" w:eastAsia="Cambria" w:hAnsi="Verdana" w:cs="Calibri"/>
        </w:rPr>
        <w:t>9</w:t>
      </w:r>
      <w:r w:rsidRPr="001530DF">
        <w:rPr>
          <w:rFonts w:ascii="Verdana" w:eastAsia="Cambria" w:hAnsi="Verdana" w:cs="Calibri"/>
          <w:b/>
        </w:rPr>
        <w:t xml:space="preserve"> </w:t>
      </w:r>
      <w:r w:rsidRPr="001530DF">
        <w:rPr>
          <w:rFonts w:ascii="Verdana" w:eastAsia="Cambria" w:hAnsi="Verdana" w:cs="Calibri"/>
        </w:rPr>
        <w:t xml:space="preserve">študijskim programom </w:t>
      </w:r>
      <w:r>
        <w:rPr>
          <w:rFonts w:ascii="Verdana" w:eastAsia="Cambria" w:hAnsi="Verdana" w:cs="Calibri"/>
        </w:rPr>
        <w:t xml:space="preserve">ter </w:t>
      </w:r>
      <w:r w:rsidRPr="00EA4DF1">
        <w:rPr>
          <w:rFonts w:ascii="Verdana" w:eastAsia="Cambria" w:hAnsi="Verdana" w:cs="Calibri"/>
        </w:rPr>
        <w:t>podaljšal akreditacijo 22 študijskim programom (od tega eno po izredni evalvaciji),</w:t>
      </w:r>
    </w:p>
    <w:p w14:paraId="578F57A3" w14:textId="34BEE629" w:rsidR="003D7AF8" w:rsidRDefault="003D7AF8" w:rsidP="003D7AF8">
      <w:pPr>
        <w:numPr>
          <w:ilvl w:val="0"/>
          <w:numId w:val="31"/>
        </w:numPr>
        <w:spacing w:after="0" w:line="240" w:lineRule="auto"/>
        <w:jc w:val="both"/>
        <w:rPr>
          <w:rFonts w:ascii="Verdana" w:eastAsia="Cambria" w:hAnsi="Verdana" w:cs="Calibri"/>
        </w:rPr>
      </w:pPr>
      <w:r>
        <w:rPr>
          <w:rFonts w:ascii="Verdana" w:eastAsia="Cambria" w:hAnsi="Verdana" w:cs="Calibri"/>
        </w:rPr>
        <w:t xml:space="preserve">negativno odločil o akreditacijah ali podaljšanju akreditacije 3 študijskim programom ter podelitvi akreditacije 1 visokošolskemu zavodu. </w:t>
      </w:r>
    </w:p>
    <w:p w14:paraId="3121DD1C" w14:textId="1A906FBD" w:rsidR="003D7AF8" w:rsidRDefault="003D7AF8" w:rsidP="003D7AF8">
      <w:pPr>
        <w:spacing w:after="0" w:line="240" w:lineRule="auto"/>
        <w:jc w:val="both"/>
        <w:rPr>
          <w:rFonts w:ascii="Verdana" w:eastAsia="Cambria" w:hAnsi="Verdana" w:cs="Calibri"/>
        </w:rPr>
      </w:pPr>
      <w:r>
        <w:rPr>
          <w:rFonts w:ascii="Verdana" w:eastAsia="Cambria" w:hAnsi="Verdana" w:cs="Calibri"/>
        </w:rPr>
        <w:t xml:space="preserve">Akreditacijo je študijskim programom podaljševal po starih merilih, in sicer za nedoločen čas v skladu z ZViS-K. </w:t>
      </w:r>
    </w:p>
    <w:p w14:paraId="7B2C4D4A" w14:textId="77777777" w:rsidR="003D7AF8" w:rsidRDefault="003D7AF8" w:rsidP="003D7AF8">
      <w:pPr>
        <w:spacing w:after="0" w:line="240" w:lineRule="auto"/>
        <w:jc w:val="both"/>
        <w:rPr>
          <w:rFonts w:ascii="Verdana" w:eastAsia="Cambria" w:hAnsi="Verdana" w:cs="Calibri"/>
          <w:u w:val="single"/>
        </w:rPr>
      </w:pPr>
    </w:p>
    <w:p w14:paraId="6D9E1314" w14:textId="77777777" w:rsidR="003D7AF8" w:rsidRPr="001530DF" w:rsidRDefault="003D7AF8" w:rsidP="003D7AF8">
      <w:pPr>
        <w:spacing w:after="0" w:line="240" w:lineRule="auto"/>
        <w:jc w:val="both"/>
        <w:rPr>
          <w:rFonts w:ascii="Verdana" w:eastAsia="Cambria" w:hAnsi="Verdana" w:cs="Calibri"/>
          <w:b/>
          <w:sz w:val="24"/>
          <w:szCs w:val="24"/>
        </w:rPr>
      </w:pPr>
      <w:r w:rsidRPr="001530DF">
        <w:rPr>
          <w:rFonts w:ascii="Verdana" w:eastAsia="Cambria" w:hAnsi="Verdana" w:cs="Calibri"/>
          <w:b/>
          <w:sz w:val="24"/>
          <w:szCs w:val="24"/>
        </w:rPr>
        <w:t>Zunanje evalvacije višjih strokovnih šol</w:t>
      </w:r>
    </w:p>
    <w:p w14:paraId="644EE890" w14:textId="77777777" w:rsidR="003D7AF8" w:rsidRPr="001530DF" w:rsidRDefault="003D7AF8" w:rsidP="003D7AF8">
      <w:pPr>
        <w:spacing w:after="0" w:line="240" w:lineRule="auto"/>
        <w:jc w:val="both"/>
        <w:rPr>
          <w:rFonts w:ascii="Verdana" w:eastAsia="Cambria" w:hAnsi="Verdana" w:cs="Calibri"/>
          <w:u w:val="single"/>
        </w:rPr>
      </w:pPr>
    </w:p>
    <w:p w14:paraId="423CD7B8" w14:textId="30E4214F" w:rsidR="003D7AF8" w:rsidRDefault="003D7AF8" w:rsidP="003D7AF8">
      <w:pPr>
        <w:spacing w:after="0" w:line="240" w:lineRule="auto"/>
        <w:jc w:val="both"/>
        <w:rPr>
          <w:rFonts w:ascii="Verdana" w:eastAsia="Cambria" w:hAnsi="Verdana" w:cs="Calibri"/>
        </w:rPr>
      </w:pPr>
      <w:r>
        <w:rPr>
          <w:rFonts w:ascii="Verdana" w:eastAsia="Cambria" w:hAnsi="Verdana" w:cs="Calibri"/>
        </w:rPr>
        <w:t>Svet a</w:t>
      </w:r>
      <w:r w:rsidRPr="001530DF">
        <w:rPr>
          <w:rFonts w:ascii="Verdana" w:eastAsia="Cambria" w:hAnsi="Verdana" w:cs="Calibri"/>
        </w:rPr>
        <w:t>gencij</w:t>
      </w:r>
      <w:r>
        <w:rPr>
          <w:rFonts w:ascii="Verdana" w:eastAsia="Cambria" w:hAnsi="Verdana" w:cs="Calibri"/>
        </w:rPr>
        <w:t>e</w:t>
      </w:r>
      <w:r w:rsidRPr="001530DF">
        <w:rPr>
          <w:rFonts w:ascii="Verdana" w:eastAsia="Cambria" w:hAnsi="Verdana" w:cs="Calibri"/>
        </w:rPr>
        <w:t xml:space="preserve"> je sprejel </w:t>
      </w:r>
      <w:r>
        <w:rPr>
          <w:rFonts w:ascii="Verdana" w:eastAsia="Cambria" w:hAnsi="Verdana" w:cs="Calibri"/>
        </w:rPr>
        <w:t>8</w:t>
      </w:r>
      <w:r w:rsidRPr="001530DF">
        <w:rPr>
          <w:rFonts w:ascii="Verdana" w:eastAsia="Cambria" w:hAnsi="Verdana" w:cs="Calibri"/>
        </w:rPr>
        <w:t xml:space="preserve"> mnenj o </w:t>
      </w:r>
      <w:r>
        <w:rPr>
          <w:rFonts w:ascii="Verdana" w:eastAsia="Cambria" w:hAnsi="Verdana" w:cs="Calibri"/>
        </w:rPr>
        <w:t xml:space="preserve">tem, da šole </w:t>
      </w:r>
      <w:r w:rsidRPr="001530DF">
        <w:rPr>
          <w:rFonts w:ascii="Verdana" w:eastAsia="Cambria" w:hAnsi="Verdana" w:cs="Calibri"/>
        </w:rPr>
        <w:t>dosegaj</w:t>
      </w:r>
      <w:r>
        <w:rPr>
          <w:rFonts w:ascii="Verdana" w:eastAsia="Cambria" w:hAnsi="Verdana" w:cs="Calibri"/>
        </w:rPr>
        <w:t>o</w:t>
      </w:r>
      <w:r w:rsidRPr="001530DF">
        <w:rPr>
          <w:rFonts w:ascii="Verdana" w:eastAsia="Cambria" w:hAnsi="Verdana" w:cs="Calibri"/>
        </w:rPr>
        <w:t xml:space="preserve"> z zakonom </w:t>
      </w:r>
      <w:r>
        <w:rPr>
          <w:rFonts w:ascii="Verdana" w:eastAsia="Cambria" w:hAnsi="Verdana" w:cs="Calibri"/>
        </w:rPr>
        <w:t xml:space="preserve">in merili </w:t>
      </w:r>
      <w:r w:rsidRPr="001530DF">
        <w:rPr>
          <w:rFonts w:ascii="Verdana" w:eastAsia="Cambria" w:hAnsi="Verdana" w:cs="Calibri"/>
        </w:rPr>
        <w:t>predpisan</w:t>
      </w:r>
      <w:r>
        <w:rPr>
          <w:rFonts w:ascii="Verdana" w:eastAsia="Cambria" w:hAnsi="Verdana" w:cs="Calibri"/>
        </w:rPr>
        <w:t>e</w:t>
      </w:r>
      <w:r w:rsidRPr="001530DF">
        <w:rPr>
          <w:rFonts w:ascii="Verdana" w:eastAsia="Cambria" w:hAnsi="Verdana" w:cs="Calibri"/>
        </w:rPr>
        <w:t xml:space="preserve"> standard</w:t>
      </w:r>
      <w:r>
        <w:rPr>
          <w:rFonts w:ascii="Verdana" w:eastAsia="Cambria" w:hAnsi="Verdana" w:cs="Calibri"/>
        </w:rPr>
        <w:t xml:space="preserve">e kakovosti, ter 1 mnenje, v katerem je ugotovil manjše nepravilnosti pri delovanju šole. </w:t>
      </w:r>
    </w:p>
    <w:p w14:paraId="332C8DE7" w14:textId="77777777" w:rsidR="003D7AF8" w:rsidRDefault="003D7AF8" w:rsidP="003D7AF8">
      <w:pPr>
        <w:spacing w:after="0" w:line="240" w:lineRule="auto"/>
        <w:jc w:val="both"/>
        <w:rPr>
          <w:rFonts w:ascii="Verdana" w:eastAsia="Cambria" w:hAnsi="Verdana" w:cs="Calibri"/>
        </w:rPr>
      </w:pPr>
    </w:p>
    <w:p w14:paraId="4F4CAB83" w14:textId="77777777" w:rsidR="003D7AF8" w:rsidRPr="00C80021" w:rsidRDefault="003D7AF8" w:rsidP="003D7AF8">
      <w:pPr>
        <w:spacing w:after="0" w:line="240" w:lineRule="auto"/>
        <w:jc w:val="both"/>
        <w:rPr>
          <w:rFonts w:ascii="Verdana" w:eastAsia="Cambria" w:hAnsi="Verdana" w:cs="Calibri"/>
          <w:sz w:val="24"/>
          <w:szCs w:val="24"/>
        </w:rPr>
      </w:pPr>
      <w:r w:rsidRPr="00C80021">
        <w:rPr>
          <w:rFonts w:ascii="Verdana" w:eastAsia="Cambria" w:hAnsi="Verdana" w:cs="Calibri"/>
          <w:sz w:val="24"/>
          <w:szCs w:val="24"/>
        </w:rPr>
        <w:t>Natančnejši podatki so razvidni iz preglednic in pojasnil.</w:t>
      </w:r>
    </w:p>
    <w:p w14:paraId="4B5C9D33" w14:textId="77777777" w:rsidR="003D7AF8" w:rsidRPr="00615FD8" w:rsidRDefault="003D7AF8" w:rsidP="003D7AF8">
      <w:pPr>
        <w:spacing w:after="0" w:line="240" w:lineRule="auto"/>
        <w:jc w:val="both"/>
        <w:rPr>
          <w:rFonts w:ascii="Verdana" w:eastAsia="Cambria" w:hAnsi="Verdana" w:cs="Calibri"/>
          <w:b/>
          <w:color w:val="FF0000"/>
          <w:sz w:val="24"/>
          <w:szCs w:val="24"/>
        </w:rPr>
      </w:pPr>
    </w:p>
    <w:p w14:paraId="3B079AD9" w14:textId="77777777" w:rsidR="003D7AF8" w:rsidRPr="001530DF" w:rsidRDefault="003D7AF8" w:rsidP="003D7AF8">
      <w:pPr>
        <w:spacing w:after="0" w:line="240" w:lineRule="auto"/>
        <w:jc w:val="both"/>
        <w:rPr>
          <w:rFonts w:ascii="Verdana" w:eastAsia="Cambria" w:hAnsi="Verdana" w:cs="Times New Roman"/>
          <w:i/>
          <w:sz w:val="20"/>
          <w:szCs w:val="20"/>
        </w:rPr>
      </w:pPr>
      <w:r w:rsidRPr="001530DF">
        <w:rPr>
          <w:rFonts w:ascii="Verdana" w:eastAsia="Cambria" w:hAnsi="Verdana" w:cs="Times New Roman"/>
          <w:i/>
          <w:sz w:val="20"/>
          <w:szCs w:val="20"/>
        </w:rPr>
        <w:t xml:space="preserve">SPLOŠNI OPOMBI: </w:t>
      </w:r>
    </w:p>
    <w:p w14:paraId="2DCC5132" w14:textId="77777777" w:rsidR="003D7AF8" w:rsidRPr="001530DF" w:rsidRDefault="003D7AF8" w:rsidP="003D7AF8">
      <w:pPr>
        <w:numPr>
          <w:ilvl w:val="0"/>
          <w:numId w:val="1"/>
        </w:numPr>
        <w:spacing w:after="0" w:line="240" w:lineRule="auto"/>
        <w:jc w:val="both"/>
        <w:rPr>
          <w:rFonts w:ascii="Verdana" w:eastAsia="Cambria" w:hAnsi="Verdana" w:cs="Times New Roman"/>
          <w:i/>
          <w:sz w:val="20"/>
          <w:szCs w:val="20"/>
        </w:rPr>
      </w:pPr>
      <w:r w:rsidRPr="001530DF">
        <w:rPr>
          <w:rFonts w:ascii="Verdana" w:eastAsia="Cambria" w:hAnsi="Verdana" w:cs="Times New Roman"/>
          <w:i/>
          <w:sz w:val="20"/>
          <w:szCs w:val="20"/>
        </w:rPr>
        <w:t xml:space="preserve">v </w:t>
      </w:r>
      <w:r>
        <w:rPr>
          <w:rFonts w:ascii="Verdana" w:eastAsia="Cambria" w:hAnsi="Verdana" w:cs="Times New Roman"/>
          <w:i/>
          <w:sz w:val="20"/>
          <w:szCs w:val="20"/>
        </w:rPr>
        <w:t xml:space="preserve">vseh </w:t>
      </w:r>
      <w:r w:rsidRPr="001530DF">
        <w:rPr>
          <w:rFonts w:ascii="Verdana" w:eastAsia="Cambria" w:hAnsi="Verdana" w:cs="Times New Roman"/>
          <w:i/>
          <w:sz w:val="20"/>
          <w:szCs w:val="20"/>
        </w:rPr>
        <w:t>preglednicah je »visokošolski zavod« zapisan kot »zavod«, »višja strokovna šola« kot »šola«, študijski program pa kot »program«.</w:t>
      </w:r>
    </w:p>
    <w:p w14:paraId="1253C741" w14:textId="77777777" w:rsidR="003D7AF8" w:rsidRPr="001530DF" w:rsidRDefault="003D7AF8" w:rsidP="003D7AF8">
      <w:pPr>
        <w:numPr>
          <w:ilvl w:val="0"/>
          <w:numId w:val="1"/>
        </w:numPr>
        <w:spacing w:after="0" w:line="240" w:lineRule="auto"/>
        <w:jc w:val="both"/>
        <w:rPr>
          <w:rFonts w:ascii="Verdana" w:eastAsia="Cambria" w:hAnsi="Verdana" w:cs="Times New Roman"/>
          <w:i/>
          <w:sz w:val="20"/>
          <w:szCs w:val="20"/>
        </w:rPr>
      </w:pPr>
      <w:r w:rsidRPr="001530DF">
        <w:rPr>
          <w:rFonts w:ascii="Verdana" w:eastAsia="Cambria" w:hAnsi="Verdana" w:cs="Times New Roman"/>
          <w:i/>
          <w:sz w:val="20"/>
          <w:szCs w:val="20"/>
        </w:rPr>
        <w:t>Po ZViS-k in novih merilih med »</w:t>
      </w:r>
      <w:r>
        <w:rPr>
          <w:rFonts w:ascii="Verdana" w:eastAsia="Cambria" w:hAnsi="Verdana" w:cs="Times New Roman"/>
          <w:i/>
          <w:sz w:val="20"/>
          <w:szCs w:val="20"/>
        </w:rPr>
        <w:t>s</w:t>
      </w:r>
      <w:r w:rsidRPr="001530DF">
        <w:rPr>
          <w:rFonts w:ascii="Verdana" w:eastAsia="Cambria" w:hAnsi="Verdana" w:cs="Times New Roman"/>
          <w:i/>
          <w:sz w:val="20"/>
          <w:szCs w:val="20"/>
        </w:rPr>
        <w:t>premembe visokošolskih zavodov« spadajo: preoblikovanje v drugo vrsto visokošolskega zavoda, pripojitev, spojitev ali razdelitev visokošolskih zavodov ter sprememba lokacije v Sloveniji.</w:t>
      </w:r>
    </w:p>
    <w:p w14:paraId="330FC528" w14:textId="77777777" w:rsidR="003D7AF8" w:rsidRPr="00F77C69" w:rsidRDefault="003D7AF8" w:rsidP="003D7AF8">
      <w:pPr>
        <w:spacing w:after="0" w:line="240" w:lineRule="auto"/>
        <w:jc w:val="both"/>
        <w:rPr>
          <w:rFonts w:ascii="Verdana" w:eastAsia="Cambria" w:hAnsi="Verdana" w:cs="Calibri"/>
        </w:rPr>
      </w:pPr>
    </w:p>
    <w:tbl>
      <w:tblPr>
        <w:tblW w:w="9889" w:type="dxa"/>
        <w:tblBorders>
          <w:top w:val="single" w:sz="2" w:space="0" w:color="993366"/>
          <w:left w:val="single" w:sz="18" w:space="0" w:color="993366"/>
          <w:bottom w:val="single" w:sz="2" w:space="0" w:color="993366"/>
          <w:right w:val="single" w:sz="18" w:space="0" w:color="993366"/>
          <w:insideH w:val="single" w:sz="6" w:space="0" w:color="993366"/>
          <w:insideV w:val="single" w:sz="6" w:space="0" w:color="993366"/>
        </w:tblBorders>
        <w:tblLayout w:type="fixed"/>
        <w:tblLook w:val="04A0" w:firstRow="1" w:lastRow="0" w:firstColumn="1" w:lastColumn="0" w:noHBand="0" w:noVBand="1"/>
      </w:tblPr>
      <w:tblGrid>
        <w:gridCol w:w="2279"/>
        <w:gridCol w:w="2388"/>
        <w:gridCol w:w="2387"/>
        <w:gridCol w:w="2835"/>
      </w:tblGrid>
      <w:tr w:rsidR="003D7AF8" w:rsidRPr="00724F21" w14:paraId="7D45A9F0" w14:textId="77777777" w:rsidTr="00E07F6C">
        <w:tc>
          <w:tcPr>
            <w:tcW w:w="9889" w:type="dxa"/>
            <w:gridSpan w:val="4"/>
            <w:tcBorders>
              <w:top w:val="single" w:sz="2" w:space="0" w:color="993366"/>
              <w:left w:val="single" w:sz="18" w:space="0" w:color="993366"/>
              <w:bottom w:val="single" w:sz="6" w:space="0" w:color="993366"/>
              <w:right w:val="single" w:sz="18" w:space="0" w:color="993366"/>
            </w:tcBorders>
            <w:shd w:val="clear" w:color="auto" w:fill="E5B8B7"/>
          </w:tcPr>
          <w:p w14:paraId="7F0B6060" w14:textId="77777777" w:rsidR="003D7AF8" w:rsidRPr="00B42177" w:rsidRDefault="003D7AF8" w:rsidP="000C6F9E">
            <w:pPr>
              <w:spacing w:after="0" w:line="240" w:lineRule="auto"/>
              <w:ind w:left="360"/>
              <w:contextualSpacing/>
              <w:rPr>
                <w:rFonts w:ascii="Verdana" w:eastAsia="Calibri" w:hAnsi="Verdana" w:cs="Times New Roman"/>
                <w:b/>
              </w:rPr>
            </w:pPr>
          </w:p>
          <w:p w14:paraId="727D42B3" w14:textId="77777777" w:rsidR="003D7AF8" w:rsidRPr="00B42177" w:rsidRDefault="003D7AF8" w:rsidP="000C6F9E">
            <w:pPr>
              <w:spacing w:after="0" w:line="240" w:lineRule="auto"/>
              <w:jc w:val="both"/>
              <w:rPr>
                <w:rFonts w:ascii="Verdana" w:eastAsia="Cambria" w:hAnsi="Verdana" w:cs="Calibri"/>
                <w:b/>
              </w:rPr>
            </w:pPr>
            <w:r w:rsidRPr="00B42177">
              <w:rPr>
                <w:rFonts w:ascii="Verdana" w:eastAsia="Cambria" w:hAnsi="Verdana" w:cs="Calibri"/>
                <w:b/>
                <w:sz w:val="18"/>
                <w:szCs w:val="18"/>
              </w:rPr>
              <w:t>Preglednica 1:</w:t>
            </w:r>
            <w:r w:rsidRPr="00B42177">
              <w:rPr>
                <w:rFonts w:ascii="Verdana" w:eastAsia="Cambria" w:hAnsi="Verdana" w:cs="Calibri"/>
                <w:b/>
              </w:rPr>
              <w:t xml:space="preserve"> </w:t>
            </w:r>
            <w:r w:rsidRPr="00B42177">
              <w:rPr>
                <w:rFonts w:ascii="Verdana" w:eastAsia="Cambria" w:hAnsi="Verdana" w:cs="Times New Roman"/>
                <w:b/>
              </w:rPr>
              <w:t>OBRAVNAVA VLOG, VLOŽENIH PRED LETOM 2018</w:t>
            </w:r>
          </w:p>
          <w:p w14:paraId="4A74C8BC" w14:textId="77777777" w:rsidR="003D7AF8" w:rsidRPr="00724F21" w:rsidRDefault="003D7AF8" w:rsidP="000C6F9E">
            <w:pPr>
              <w:spacing w:after="0" w:line="240" w:lineRule="auto"/>
              <w:contextualSpacing/>
              <w:rPr>
                <w:rFonts w:ascii="Verdana" w:eastAsia="Calibri" w:hAnsi="Verdana" w:cs="Times New Roman"/>
                <w:b/>
                <w:sz w:val="20"/>
                <w:szCs w:val="20"/>
              </w:rPr>
            </w:pPr>
          </w:p>
        </w:tc>
      </w:tr>
      <w:tr w:rsidR="003D7AF8" w:rsidRPr="00724F21" w14:paraId="1ECFF3A1" w14:textId="77777777" w:rsidTr="00E07F6C">
        <w:tc>
          <w:tcPr>
            <w:tcW w:w="9889" w:type="dxa"/>
            <w:gridSpan w:val="4"/>
            <w:shd w:val="clear" w:color="auto" w:fill="D6E3BC"/>
          </w:tcPr>
          <w:p w14:paraId="74954DA0" w14:textId="77777777" w:rsidR="003D7AF8" w:rsidRPr="00724F21" w:rsidRDefault="003D7AF8" w:rsidP="000C6F9E">
            <w:pPr>
              <w:spacing w:after="0" w:line="240" w:lineRule="auto"/>
              <w:ind w:left="360"/>
              <w:rPr>
                <w:rFonts w:ascii="Verdana" w:eastAsia="Cambria" w:hAnsi="Verdana" w:cs="Times New Roman"/>
                <w:b/>
                <w:sz w:val="20"/>
                <w:szCs w:val="20"/>
              </w:rPr>
            </w:pPr>
            <w:r w:rsidRPr="00724F21">
              <w:rPr>
                <w:rFonts w:ascii="Verdana" w:eastAsia="Cambria" w:hAnsi="Verdana" w:cs="Times New Roman"/>
                <w:b/>
                <w:sz w:val="20"/>
                <w:szCs w:val="20"/>
              </w:rPr>
              <w:t xml:space="preserve"> 1. a</w:t>
            </w:r>
            <w:r w:rsidRPr="00724F21">
              <w:rPr>
                <w:rFonts w:ascii="Verdana" w:eastAsia="Calibri" w:hAnsi="Verdana" w:cs="Times New Roman"/>
                <w:b/>
                <w:sz w:val="20"/>
                <w:szCs w:val="20"/>
              </w:rPr>
              <w:t>kreditacije v visokem šolstvu</w:t>
            </w:r>
          </w:p>
        </w:tc>
      </w:tr>
      <w:tr w:rsidR="003D7AF8" w:rsidRPr="00724F21" w14:paraId="79E6ACA2" w14:textId="77777777" w:rsidTr="00E07F6C">
        <w:tc>
          <w:tcPr>
            <w:tcW w:w="2279" w:type="dxa"/>
            <w:shd w:val="clear" w:color="auto" w:fill="B8CCE4"/>
          </w:tcPr>
          <w:p w14:paraId="2AC22EBF" w14:textId="77777777" w:rsidR="003D7AF8" w:rsidRPr="00724F21" w:rsidRDefault="003D7AF8" w:rsidP="000C6F9E">
            <w:pPr>
              <w:spacing w:after="0" w:line="240" w:lineRule="auto"/>
              <w:rPr>
                <w:rFonts w:ascii="Verdana" w:eastAsia="Cambria" w:hAnsi="Verdana" w:cs="Times New Roman"/>
                <w:b/>
                <w:sz w:val="20"/>
                <w:szCs w:val="20"/>
              </w:rPr>
            </w:pPr>
            <w:r w:rsidRPr="00724F21">
              <w:rPr>
                <w:rFonts w:ascii="Verdana" w:eastAsia="Cambria" w:hAnsi="Verdana" w:cs="Times New Roman"/>
                <w:b/>
                <w:sz w:val="20"/>
                <w:szCs w:val="20"/>
              </w:rPr>
              <w:t>Naloga</w:t>
            </w:r>
          </w:p>
        </w:tc>
        <w:tc>
          <w:tcPr>
            <w:tcW w:w="2388" w:type="dxa"/>
            <w:shd w:val="clear" w:color="auto" w:fill="B8CCE4"/>
          </w:tcPr>
          <w:p w14:paraId="76882542" w14:textId="77777777" w:rsidR="003D7AF8" w:rsidRPr="00724F21" w:rsidRDefault="003D7AF8" w:rsidP="000C6F9E">
            <w:pPr>
              <w:spacing w:after="0" w:line="240" w:lineRule="auto"/>
              <w:rPr>
                <w:rFonts w:ascii="Verdana" w:eastAsia="Cambria" w:hAnsi="Verdana" w:cs="Times New Roman"/>
                <w:b/>
                <w:sz w:val="20"/>
                <w:szCs w:val="20"/>
              </w:rPr>
            </w:pPr>
            <w:r w:rsidRPr="00724F21">
              <w:rPr>
                <w:rFonts w:ascii="Verdana" w:eastAsia="Cambria" w:hAnsi="Verdana" w:cs="Times New Roman"/>
                <w:b/>
                <w:sz w:val="20"/>
                <w:szCs w:val="20"/>
              </w:rPr>
              <w:t>Št. akreditacij po starih merilih</w:t>
            </w:r>
          </w:p>
        </w:tc>
        <w:tc>
          <w:tcPr>
            <w:tcW w:w="2387" w:type="dxa"/>
            <w:tcBorders>
              <w:bottom w:val="single" w:sz="6" w:space="0" w:color="993366"/>
            </w:tcBorders>
            <w:shd w:val="clear" w:color="auto" w:fill="B8CCE4"/>
          </w:tcPr>
          <w:p w14:paraId="600A46F1" w14:textId="77777777" w:rsidR="003D7AF8" w:rsidRPr="00724F21" w:rsidRDefault="003D7AF8" w:rsidP="000C6F9E">
            <w:pPr>
              <w:spacing w:after="0" w:line="240" w:lineRule="auto"/>
              <w:rPr>
                <w:rFonts w:ascii="Verdana" w:eastAsia="Cambria" w:hAnsi="Verdana" w:cs="Times New Roman"/>
                <w:b/>
                <w:sz w:val="20"/>
                <w:szCs w:val="20"/>
              </w:rPr>
            </w:pPr>
            <w:r w:rsidRPr="00724F21">
              <w:rPr>
                <w:rFonts w:ascii="Verdana" w:eastAsia="Cambria" w:hAnsi="Verdana" w:cs="Times New Roman"/>
                <w:b/>
                <w:sz w:val="20"/>
                <w:szCs w:val="20"/>
              </w:rPr>
              <w:t>Št. akreditacij po novih merilih</w:t>
            </w:r>
          </w:p>
        </w:tc>
        <w:tc>
          <w:tcPr>
            <w:tcW w:w="2835" w:type="dxa"/>
            <w:tcBorders>
              <w:bottom w:val="single" w:sz="6" w:space="0" w:color="993366"/>
            </w:tcBorders>
            <w:shd w:val="clear" w:color="auto" w:fill="B8CCE4"/>
          </w:tcPr>
          <w:p w14:paraId="05507009" w14:textId="77777777" w:rsidR="003D7AF8" w:rsidRPr="00724F21" w:rsidRDefault="003D7AF8" w:rsidP="000C6F9E">
            <w:pPr>
              <w:spacing w:after="0" w:line="240" w:lineRule="auto"/>
              <w:rPr>
                <w:rFonts w:ascii="Verdana" w:eastAsia="Cambria" w:hAnsi="Verdana" w:cs="Times New Roman"/>
                <w:b/>
                <w:sz w:val="20"/>
                <w:szCs w:val="20"/>
              </w:rPr>
            </w:pPr>
            <w:r w:rsidRPr="00724F21">
              <w:rPr>
                <w:rFonts w:ascii="Verdana" w:eastAsia="Cambria" w:hAnsi="Verdana" w:cs="Times New Roman"/>
                <w:b/>
                <w:sz w:val="20"/>
                <w:szCs w:val="20"/>
              </w:rPr>
              <w:t>Nekončani postopki po starih merilih</w:t>
            </w:r>
          </w:p>
        </w:tc>
      </w:tr>
      <w:tr w:rsidR="003D7AF8" w:rsidRPr="00724F21" w14:paraId="28D11526" w14:textId="77777777" w:rsidTr="00E07F6C">
        <w:trPr>
          <w:trHeight w:val="423"/>
        </w:trPr>
        <w:tc>
          <w:tcPr>
            <w:tcW w:w="2279" w:type="dxa"/>
            <w:shd w:val="clear" w:color="auto" w:fill="FFFFFF"/>
          </w:tcPr>
          <w:p w14:paraId="2179B8DE" w14:textId="77777777" w:rsidR="003D7AF8" w:rsidRPr="00724F21" w:rsidRDefault="003D7AF8" w:rsidP="000C6F9E">
            <w:pPr>
              <w:spacing w:after="0" w:line="240" w:lineRule="auto"/>
              <w:rPr>
                <w:rFonts w:ascii="Verdana" w:eastAsia="Cambria" w:hAnsi="Verdana" w:cs="Times New Roman"/>
                <w:sz w:val="20"/>
                <w:szCs w:val="20"/>
              </w:rPr>
            </w:pPr>
            <w:r w:rsidRPr="00724F21">
              <w:rPr>
                <w:rFonts w:ascii="Verdana" w:eastAsia="Cambria" w:hAnsi="Verdana" w:cs="Times New Roman"/>
                <w:sz w:val="20"/>
                <w:szCs w:val="20"/>
              </w:rPr>
              <w:t>Prva akreditacija  programov</w:t>
            </w:r>
          </w:p>
        </w:tc>
        <w:tc>
          <w:tcPr>
            <w:tcW w:w="2388" w:type="dxa"/>
            <w:shd w:val="clear" w:color="auto" w:fill="FFFFFF"/>
          </w:tcPr>
          <w:p w14:paraId="55B5D36C" w14:textId="77777777" w:rsidR="003D7AF8" w:rsidRPr="00724F21"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3</w:t>
            </w:r>
          </w:p>
        </w:tc>
        <w:tc>
          <w:tcPr>
            <w:tcW w:w="2387" w:type="dxa"/>
            <w:tcBorders>
              <w:top w:val="single" w:sz="6" w:space="0" w:color="993366"/>
              <w:bottom w:val="single" w:sz="6" w:space="0" w:color="993366"/>
            </w:tcBorders>
            <w:shd w:val="clear" w:color="auto" w:fill="auto"/>
          </w:tcPr>
          <w:p w14:paraId="3B7CA79B" w14:textId="77777777" w:rsidR="003D7AF8" w:rsidRPr="00724F21"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2</w:t>
            </w:r>
          </w:p>
        </w:tc>
        <w:tc>
          <w:tcPr>
            <w:tcW w:w="2835" w:type="dxa"/>
            <w:tcBorders>
              <w:top w:val="single" w:sz="6" w:space="0" w:color="993366"/>
              <w:bottom w:val="single" w:sz="6" w:space="0" w:color="993366"/>
            </w:tcBorders>
            <w:shd w:val="clear" w:color="auto" w:fill="auto"/>
          </w:tcPr>
          <w:p w14:paraId="3836C930" w14:textId="1B899CCE" w:rsidR="003D7AF8" w:rsidRPr="00724F21"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 xml:space="preserve">3 (2 </w:t>
            </w:r>
            <w:r w:rsidR="00911F52">
              <w:rPr>
                <w:rFonts w:ascii="Verdana" w:eastAsia="Cambria" w:hAnsi="Verdana" w:cs="Times New Roman"/>
                <w:sz w:val="20"/>
                <w:szCs w:val="20"/>
              </w:rPr>
              <w:t>po</w:t>
            </w:r>
            <w:r>
              <w:rPr>
                <w:rFonts w:ascii="Verdana" w:eastAsia="Cambria" w:hAnsi="Verdana" w:cs="Times New Roman"/>
                <w:sz w:val="20"/>
                <w:szCs w:val="20"/>
              </w:rPr>
              <w:t xml:space="preserve"> pritožb</w:t>
            </w:r>
            <w:r w:rsidR="00911F52">
              <w:rPr>
                <w:rFonts w:ascii="Verdana" w:eastAsia="Cambria" w:hAnsi="Verdana" w:cs="Times New Roman"/>
                <w:sz w:val="20"/>
                <w:szCs w:val="20"/>
              </w:rPr>
              <w:t>i</w:t>
            </w:r>
            <w:r>
              <w:rPr>
                <w:rFonts w:ascii="Verdana" w:eastAsia="Cambria" w:hAnsi="Verdana" w:cs="Times New Roman"/>
                <w:sz w:val="20"/>
                <w:szCs w:val="20"/>
              </w:rPr>
              <w:t xml:space="preserve"> </w:t>
            </w:r>
            <w:r w:rsidR="00911F52">
              <w:rPr>
                <w:rFonts w:ascii="Verdana" w:eastAsia="Cambria" w:hAnsi="Verdana" w:cs="Times New Roman"/>
                <w:sz w:val="20"/>
                <w:szCs w:val="20"/>
              </w:rPr>
              <w:t>vrnjeni na prvo stopnjo</w:t>
            </w:r>
            <w:r>
              <w:rPr>
                <w:rFonts w:ascii="Verdana" w:eastAsia="Cambria" w:hAnsi="Verdana" w:cs="Times New Roman"/>
                <w:sz w:val="20"/>
                <w:szCs w:val="20"/>
              </w:rPr>
              <w:t>, 1 skupni študijski program*)</w:t>
            </w:r>
          </w:p>
        </w:tc>
      </w:tr>
      <w:tr w:rsidR="003D7AF8" w:rsidRPr="00724F21" w14:paraId="04A1FB70" w14:textId="77777777" w:rsidTr="00E07F6C">
        <w:tc>
          <w:tcPr>
            <w:tcW w:w="2279" w:type="dxa"/>
            <w:shd w:val="clear" w:color="auto" w:fill="FFFFFF"/>
          </w:tcPr>
          <w:p w14:paraId="78251D0E" w14:textId="77777777" w:rsidR="003D7AF8" w:rsidRPr="00724F21" w:rsidRDefault="003D7AF8" w:rsidP="000C6F9E">
            <w:pPr>
              <w:spacing w:after="0" w:line="240" w:lineRule="auto"/>
              <w:rPr>
                <w:rFonts w:ascii="Verdana" w:eastAsia="Cambria" w:hAnsi="Verdana" w:cs="Times New Roman"/>
                <w:sz w:val="20"/>
                <w:szCs w:val="20"/>
              </w:rPr>
            </w:pPr>
            <w:r w:rsidRPr="00724F21">
              <w:rPr>
                <w:rFonts w:ascii="Verdana" w:eastAsia="Cambria" w:hAnsi="Verdana" w:cs="Times New Roman"/>
                <w:sz w:val="20"/>
                <w:szCs w:val="20"/>
              </w:rPr>
              <w:t>Podaljšanje akreditacije  programov</w:t>
            </w:r>
          </w:p>
        </w:tc>
        <w:tc>
          <w:tcPr>
            <w:tcW w:w="2388" w:type="dxa"/>
            <w:shd w:val="clear" w:color="auto" w:fill="FFFFFF"/>
          </w:tcPr>
          <w:p w14:paraId="42D8A283" w14:textId="77777777" w:rsidR="003D7AF8" w:rsidRPr="00724F21"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22 (od tega ena izredna)</w:t>
            </w:r>
          </w:p>
        </w:tc>
        <w:tc>
          <w:tcPr>
            <w:tcW w:w="2387" w:type="dxa"/>
            <w:tcBorders>
              <w:top w:val="single" w:sz="6" w:space="0" w:color="993366"/>
              <w:bottom w:val="single" w:sz="6" w:space="0" w:color="993366"/>
            </w:tcBorders>
            <w:shd w:val="clear" w:color="auto" w:fill="auto"/>
          </w:tcPr>
          <w:p w14:paraId="0BDF6252" w14:textId="77777777" w:rsidR="003D7AF8" w:rsidRPr="00724F21"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w:t>
            </w:r>
          </w:p>
        </w:tc>
        <w:tc>
          <w:tcPr>
            <w:tcW w:w="2835" w:type="dxa"/>
            <w:tcBorders>
              <w:top w:val="single" w:sz="6" w:space="0" w:color="993366"/>
              <w:bottom w:val="single" w:sz="6" w:space="0" w:color="993366"/>
            </w:tcBorders>
            <w:shd w:val="clear" w:color="auto" w:fill="auto"/>
          </w:tcPr>
          <w:p w14:paraId="13CB9864" w14:textId="77777777" w:rsidR="003D7AF8" w:rsidRPr="00724F21" w:rsidRDefault="003D7AF8" w:rsidP="000C6F9E">
            <w:pPr>
              <w:spacing w:after="0" w:line="240" w:lineRule="auto"/>
              <w:rPr>
                <w:rFonts w:ascii="Verdana" w:eastAsia="Cambria" w:hAnsi="Verdana" w:cs="Times New Roman"/>
                <w:sz w:val="20"/>
                <w:szCs w:val="20"/>
                <w:highlight w:val="yellow"/>
              </w:rPr>
            </w:pPr>
            <w:r w:rsidRPr="006C55F9">
              <w:rPr>
                <w:rFonts w:ascii="Verdana" w:eastAsia="Cambria" w:hAnsi="Verdana" w:cs="Times New Roman"/>
                <w:sz w:val="20"/>
                <w:szCs w:val="20"/>
              </w:rPr>
              <w:t>1 v pritožbenem postopku</w:t>
            </w:r>
          </w:p>
        </w:tc>
      </w:tr>
      <w:tr w:rsidR="003D7AF8" w:rsidRPr="00724F21" w14:paraId="02275035" w14:textId="77777777" w:rsidTr="00E07F6C">
        <w:tc>
          <w:tcPr>
            <w:tcW w:w="2279" w:type="dxa"/>
            <w:shd w:val="clear" w:color="auto" w:fill="FFFFFF"/>
          </w:tcPr>
          <w:p w14:paraId="5537B9A0" w14:textId="77777777" w:rsidR="003D7AF8" w:rsidRPr="00724F21" w:rsidRDefault="003D7AF8" w:rsidP="000C6F9E">
            <w:pPr>
              <w:spacing w:after="0" w:line="240" w:lineRule="auto"/>
              <w:rPr>
                <w:rFonts w:ascii="Verdana" w:eastAsia="Cambria" w:hAnsi="Verdana" w:cs="Times New Roman"/>
                <w:sz w:val="20"/>
                <w:szCs w:val="20"/>
              </w:rPr>
            </w:pPr>
            <w:r w:rsidRPr="00724F21">
              <w:rPr>
                <w:rFonts w:ascii="Verdana" w:eastAsia="Cambria" w:hAnsi="Verdana" w:cs="Times New Roman"/>
                <w:sz w:val="20"/>
                <w:szCs w:val="20"/>
              </w:rPr>
              <w:t>Prva akreditacija  zavodov</w:t>
            </w:r>
          </w:p>
        </w:tc>
        <w:tc>
          <w:tcPr>
            <w:tcW w:w="2388" w:type="dxa"/>
            <w:shd w:val="clear" w:color="auto" w:fill="FFFFFF"/>
          </w:tcPr>
          <w:p w14:paraId="55D902F8" w14:textId="77777777" w:rsidR="003D7AF8" w:rsidRPr="00724F21"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c>
          <w:tcPr>
            <w:tcW w:w="2387" w:type="dxa"/>
            <w:tcBorders>
              <w:top w:val="single" w:sz="6" w:space="0" w:color="993366"/>
              <w:bottom w:val="single" w:sz="6" w:space="0" w:color="993366"/>
            </w:tcBorders>
            <w:shd w:val="clear" w:color="auto" w:fill="auto"/>
          </w:tcPr>
          <w:p w14:paraId="0153C7C1" w14:textId="77777777" w:rsidR="003D7AF8" w:rsidRPr="00724F21"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c>
          <w:tcPr>
            <w:tcW w:w="2835" w:type="dxa"/>
            <w:tcBorders>
              <w:top w:val="single" w:sz="6" w:space="0" w:color="993366"/>
              <w:bottom w:val="single" w:sz="6" w:space="0" w:color="993366"/>
            </w:tcBorders>
            <w:shd w:val="clear" w:color="auto" w:fill="auto"/>
          </w:tcPr>
          <w:p w14:paraId="0622DA8F" w14:textId="77777777" w:rsidR="003D7AF8" w:rsidRPr="00724F21"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2 (1 v pritožbenem postopku, 1 čaka na pripombe vlagatelja k akreditacijskemu poročilu**)</w:t>
            </w:r>
          </w:p>
        </w:tc>
      </w:tr>
      <w:tr w:rsidR="003D7AF8" w:rsidRPr="00724F21" w14:paraId="034D78AD" w14:textId="77777777" w:rsidTr="00E07F6C">
        <w:tc>
          <w:tcPr>
            <w:tcW w:w="2279" w:type="dxa"/>
            <w:tcBorders>
              <w:bottom w:val="single" w:sz="6" w:space="0" w:color="993366"/>
            </w:tcBorders>
          </w:tcPr>
          <w:p w14:paraId="393CBF54" w14:textId="77777777" w:rsidR="003D7AF8" w:rsidRPr="00724F21" w:rsidRDefault="003D7AF8" w:rsidP="000C6F9E">
            <w:pPr>
              <w:spacing w:after="0" w:line="240" w:lineRule="auto"/>
              <w:rPr>
                <w:rFonts w:ascii="Verdana" w:eastAsia="Cambria" w:hAnsi="Verdana" w:cs="Times New Roman"/>
                <w:sz w:val="20"/>
                <w:szCs w:val="20"/>
              </w:rPr>
            </w:pPr>
            <w:r w:rsidRPr="00724F21">
              <w:rPr>
                <w:rFonts w:ascii="Verdana" w:eastAsia="Cambria" w:hAnsi="Verdana" w:cs="Times New Roman"/>
                <w:sz w:val="20"/>
                <w:szCs w:val="20"/>
              </w:rPr>
              <w:t xml:space="preserve">Podaljšanje </w:t>
            </w:r>
            <w:r w:rsidRPr="00724F21">
              <w:rPr>
                <w:rFonts w:ascii="Verdana" w:eastAsia="Cambria" w:hAnsi="Verdana" w:cs="Times New Roman"/>
                <w:sz w:val="20"/>
                <w:szCs w:val="20"/>
              </w:rPr>
              <w:lastRenderedPageBreak/>
              <w:t>akreditacije  zavodov</w:t>
            </w:r>
          </w:p>
        </w:tc>
        <w:tc>
          <w:tcPr>
            <w:tcW w:w="2388" w:type="dxa"/>
            <w:tcBorders>
              <w:bottom w:val="single" w:sz="6" w:space="0" w:color="993366"/>
            </w:tcBorders>
          </w:tcPr>
          <w:p w14:paraId="6A84CB50" w14:textId="77777777" w:rsidR="003D7AF8" w:rsidRPr="00724F21"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lastRenderedPageBreak/>
              <w:t>0</w:t>
            </w:r>
          </w:p>
        </w:tc>
        <w:tc>
          <w:tcPr>
            <w:tcW w:w="2387" w:type="dxa"/>
            <w:tcBorders>
              <w:top w:val="single" w:sz="6" w:space="0" w:color="993366"/>
              <w:bottom w:val="single" w:sz="6" w:space="0" w:color="993366"/>
            </w:tcBorders>
            <w:shd w:val="clear" w:color="auto" w:fill="auto"/>
          </w:tcPr>
          <w:p w14:paraId="0378BA9F" w14:textId="77777777" w:rsidR="003D7AF8" w:rsidRPr="00724F21"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c>
          <w:tcPr>
            <w:tcW w:w="2835" w:type="dxa"/>
            <w:tcBorders>
              <w:top w:val="single" w:sz="6" w:space="0" w:color="993366"/>
              <w:bottom w:val="single" w:sz="6" w:space="0" w:color="993366"/>
            </w:tcBorders>
            <w:shd w:val="clear" w:color="auto" w:fill="auto"/>
          </w:tcPr>
          <w:p w14:paraId="499C1138" w14:textId="77777777" w:rsidR="003D7AF8" w:rsidRPr="00724F21"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r>
      <w:tr w:rsidR="003D7AF8" w:rsidRPr="00724F21" w14:paraId="3608D21D" w14:textId="77777777" w:rsidTr="00E07F6C">
        <w:tc>
          <w:tcPr>
            <w:tcW w:w="2279" w:type="dxa"/>
            <w:tcBorders>
              <w:bottom w:val="single" w:sz="6" w:space="0" w:color="993366"/>
            </w:tcBorders>
          </w:tcPr>
          <w:p w14:paraId="4E1B2478" w14:textId="77777777" w:rsidR="003D7AF8" w:rsidRPr="00724F21"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lastRenderedPageBreak/>
              <w:t>Spremembe</w:t>
            </w:r>
            <w:r w:rsidRPr="00724F21">
              <w:rPr>
                <w:rFonts w:ascii="Verdana" w:eastAsia="Cambria" w:hAnsi="Verdana" w:cs="Times New Roman"/>
                <w:sz w:val="20"/>
                <w:szCs w:val="20"/>
              </w:rPr>
              <w:t xml:space="preserve">  zavodov</w:t>
            </w:r>
          </w:p>
        </w:tc>
        <w:tc>
          <w:tcPr>
            <w:tcW w:w="2388" w:type="dxa"/>
            <w:tcBorders>
              <w:bottom w:val="single" w:sz="6" w:space="0" w:color="993366"/>
            </w:tcBorders>
          </w:tcPr>
          <w:p w14:paraId="0252DC1A" w14:textId="77777777" w:rsidR="003D7AF8" w:rsidRPr="00724F21"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c>
          <w:tcPr>
            <w:tcW w:w="2387" w:type="dxa"/>
            <w:tcBorders>
              <w:top w:val="single" w:sz="6" w:space="0" w:color="993366"/>
              <w:bottom w:val="single" w:sz="6" w:space="0" w:color="993366"/>
            </w:tcBorders>
            <w:shd w:val="clear" w:color="auto" w:fill="auto"/>
          </w:tcPr>
          <w:p w14:paraId="3FD28705" w14:textId="77777777" w:rsidR="003D7AF8" w:rsidRPr="00724F21"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2</w:t>
            </w:r>
          </w:p>
        </w:tc>
        <w:tc>
          <w:tcPr>
            <w:tcW w:w="2835" w:type="dxa"/>
            <w:tcBorders>
              <w:top w:val="single" w:sz="6" w:space="0" w:color="993366"/>
              <w:bottom w:val="single" w:sz="6" w:space="0" w:color="993366"/>
            </w:tcBorders>
            <w:shd w:val="clear" w:color="auto" w:fill="auto"/>
          </w:tcPr>
          <w:p w14:paraId="0A929FCB" w14:textId="77777777" w:rsidR="003D7AF8" w:rsidRPr="00724F21"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r>
      <w:tr w:rsidR="003D7AF8" w:rsidRPr="00724F21" w14:paraId="1A365223" w14:textId="77777777" w:rsidTr="00E07F6C">
        <w:tc>
          <w:tcPr>
            <w:tcW w:w="9889" w:type="dxa"/>
            <w:gridSpan w:val="4"/>
            <w:shd w:val="clear" w:color="auto" w:fill="D6E3BC"/>
          </w:tcPr>
          <w:p w14:paraId="0B717230" w14:textId="77777777" w:rsidR="003D7AF8" w:rsidRPr="00724F21" w:rsidRDefault="003D7AF8" w:rsidP="000C6F9E">
            <w:pPr>
              <w:spacing w:after="0" w:line="240" w:lineRule="auto"/>
              <w:ind w:left="360"/>
              <w:rPr>
                <w:rFonts w:ascii="Verdana" w:eastAsia="Cambria" w:hAnsi="Verdana" w:cs="Times New Roman"/>
                <w:b/>
                <w:sz w:val="20"/>
                <w:szCs w:val="20"/>
              </w:rPr>
            </w:pPr>
            <w:r w:rsidRPr="00724F21">
              <w:rPr>
                <w:rFonts w:ascii="Verdana" w:eastAsia="Cambria" w:hAnsi="Verdana" w:cs="Times New Roman"/>
                <w:b/>
                <w:sz w:val="20"/>
                <w:szCs w:val="20"/>
              </w:rPr>
              <w:t xml:space="preserve">2. evalvacije višjih strokovnih šol </w:t>
            </w:r>
          </w:p>
        </w:tc>
      </w:tr>
      <w:tr w:rsidR="003D7AF8" w:rsidRPr="00724F21" w14:paraId="39D2F87C" w14:textId="77777777" w:rsidTr="00E07F6C">
        <w:tc>
          <w:tcPr>
            <w:tcW w:w="2279" w:type="dxa"/>
            <w:shd w:val="clear" w:color="auto" w:fill="B8CCE4"/>
          </w:tcPr>
          <w:p w14:paraId="30F9D31F" w14:textId="77777777" w:rsidR="003D7AF8" w:rsidRPr="00724F21" w:rsidRDefault="003D7AF8" w:rsidP="000C6F9E">
            <w:pPr>
              <w:spacing w:after="0" w:line="240" w:lineRule="auto"/>
              <w:rPr>
                <w:rFonts w:ascii="Verdana" w:eastAsia="Cambria" w:hAnsi="Verdana" w:cs="Times New Roman"/>
                <w:b/>
                <w:sz w:val="20"/>
                <w:szCs w:val="20"/>
              </w:rPr>
            </w:pPr>
            <w:r w:rsidRPr="00724F21">
              <w:rPr>
                <w:rFonts w:ascii="Verdana" w:eastAsia="Cambria" w:hAnsi="Verdana" w:cs="Times New Roman"/>
                <w:b/>
                <w:sz w:val="20"/>
                <w:szCs w:val="20"/>
              </w:rPr>
              <w:t>Naloga</w:t>
            </w:r>
          </w:p>
        </w:tc>
        <w:tc>
          <w:tcPr>
            <w:tcW w:w="2388" w:type="dxa"/>
            <w:shd w:val="clear" w:color="auto" w:fill="B8CCE4"/>
          </w:tcPr>
          <w:p w14:paraId="7B250DE5" w14:textId="77777777" w:rsidR="003D7AF8" w:rsidRPr="00724F21" w:rsidRDefault="003D7AF8" w:rsidP="000C6F9E">
            <w:pPr>
              <w:spacing w:after="0" w:line="240" w:lineRule="auto"/>
              <w:ind w:right="425"/>
              <w:rPr>
                <w:rFonts w:ascii="Verdana" w:eastAsia="Cambria" w:hAnsi="Verdana" w:cs="Times New Roman"/>
                <w:b/>
                <w:sz w:val="20"/>
                <w:szCs w:val="20"/>
              </w:rPr>
            </w:pPr>
            <w:r w:rsidRPr="00724F21">
              <w:rPr>
                <w:rFonts w:ascii="Verdana" w:eastAsia="Cambria" w:hAnsi="Verdana" w:cs="Times New Roman"/>
                <w:b/>
                <w:sz w:val="20"/>
                <w:szCs w:val="20"/>
              </w:rPr>
              <w:t xml:space="preserve">Št. mnenj po starih merilih </w:t>
            </w:r>
          </w:p>
        </w:tc>
        <w:tc>
          <w:tcPr>
            <w:tcW w:w="2387" w:type="dxa"/>
            <w:tcBorders>
              <w:bottom w:val="single" w:sz="6" w:space="0" w:color="993366"/>
            </w:tcBorders>
            <w:shd w:val="clear" w:color="auto" w:fill="B8CCE4"/>
          </w:tcPr>
          <w:p w14:paraId="57930EE3" w14:textId="77777777" w:rsidR="003D7AF8" w:rsidRPr="00724F21" w:rsidRDefault="003D7AF8" w:rsidP="000C6F9E">
            <w:pPr>
              <w:spacing w:after="0" w:line="240" w:lineRule="auto"/>
              <w:ind w:right="425"/>
              <w:rPr>
                <w:rFonts w:ascii="Verdana" w:eastAsia="Cambria" w:hAnsi="Verdana" w:cs="Times New Roman"/>
                <w:b/>
                <w:sz w:val="20"/>
                <w:szCs w:val="20"/>
              </w:rPr>
            </w:pPr>
            <w:r w:rsidRPr="00724F21">
              <w:rPr>
                <w:rFonts w:ascii="Verdana" w:eastAsia="Cambria" w:hAnsi="Verdana" w:cs="Times New Roman"/>
                <w:b/>
                <w:sz w:val="20"/>
                <w:szCs w:val="20"/>
              </w:rPr>
              <w:t>Št. mnenj po novih merilih</w:t>
            </w:r>
          </w:p>
        </w:tc>
        <w:tc>
          <w:tcPr>
            <w:tcW w:w="2835" w:type="dxa"/>
            <w:tcBorders>
              <w:bottom w:val="single" w:sz="6" w:space="0" w:color="993366"/>
            </w:tcBorders>
            <w:shd w:val="clear" w:color="auto" w:fill="B8CCE4"/>
          </w:tcPr>
          <w:p w14:paraId="3FAF0EAE" w14:textId="77777777" w:rsidR="003D7AF8" w:rsidRPr="00724F21" w:rsidRDefault="003D7AF8" w:rsidP="000C6F9E">
            <w:pPr>
              <w:spacing w:after="0" w:line="240" w:lineRule="auto"/>
              <w:rPr>
                <w:rFonts w:ascii="Verdana" w:eastAsia="Cambria" w:hAnsi="Verdana" w:cs="Times New Roman"/>
                <w:b/>
                <w:sz w:val="20"/>
                <w:szCs w:val="20"/>
              </w:rPr>
            </w:pPr>
            <w:r w:rsidRPr="00724F21">
              <w:rPr>
                <w:rFonts w:ascii="Verdana" w:eastAsia="Cambria" w:hAnsi="Verdana" w:cs="Times New Roman"/>
                <w:b/>
                <w:sz w:val="20"/>
                <w:szCs w:val="20"/>
              </w:rPr>
              <w:t>Nekončani postopki po starih merilih</w:t>
            </w:r>
          </w:p>
        </w:tc>
      </w:tr>
      <w:tr w:rsidR="003D7AF8" w:rsidRPr="00724F21" w14:paraId="5B767A3B" w14:textId="77777777" w:rsidTr="00E07F6C">
        <w:tc>
          <w:tcPr>
            <w:tcW w:w="2279" w:type="dxa"/>
            <w:shd w:val="clear" w:color="auto" w:fill="FFFFFF"/>
          </w:tcPr>
          <w:p w14:paraId="6D938DA1" w14:textId="77777777" w:rsidR="003D7AF8" w:rsidRPr="00724F21" w:rsidRDefault="003D7AF8" w:rsidP="000C6F9E">
            <w:pPr>
              <w:spacing w:after="0" w:line="240" w:lineRule="auto"/>
              <w:rPr>
                <w:rFonts w:ascii="Verdana" w:eastAsia="Cambria" w:hAnsi="Verdana" w:cs="Times New Roman"/>
                <w:sz w:val="20"/>
                <w:szCs w:val="20"/>
              </w:rPr>
            </w:pPr>
            <w:r w:rsidRPr="00724F21">
              <w:rPr>
                <w:rFonts w:ascii="Verdana" w:eastAsia="Cambria" w:hAnsi="Verdana" w:cs="Times New Roman"/>
                <w:sz w:val="20"/>
                <w:szCs w:val="20"/>
              </w:rPr>
              <w:t>Zunanja evalvacija višjih strokovnih šol</w:t>
            </w:r>
          </w:p>
        </w:tc>
        <w:tc>
          <w:tcPr>
            <w:tcW w:w="2388" w:type="dxa"/>
            <w:shd w:val="clear" w:color="auto" w:fill="FFFFFF"/>
          </w:tcPr>
          <w:p w14:paraId="50AD387F" w14:textId="77777777" w:rsidR="003D7AF8" w:rsidRPr="001D5987" w:rsidRDefault="003D7AF8" w:rsidP="000C6F9E">
            <w:pPr>
              <w:spacing w:after="0" w:line="240" w:lineRule="auto"/>
              <w:rPr>
                <w:rFonts w:ascii="Verdana" w:eastAsia="Cambria" w:hAnsi="Verdana" w:cs="Times New Roman"/>
                <w:color w:val="000000" w:themeColor="text1"/>
                <w:sz w:val="20"/>
                <w:szCs w:val="20"/>
              </w:rPr>
            </w:pPr>
            <w:r>
              <w:rPr>
                <w:rFonts w:ascii="Verdana" w:eastAsia="Cambria" w:hAnsi="Verdana" w:cs="Times New Roman"/>
                <w:color w:val="000000" w:themeColor="text1"/>
                <w:sz w:val="20"/>
                <w:szCs w:val="20"/>
              </w:rPr>
              <w:t>9</w:t>
            </w:r>
          </w:p>
        </w:tc>
        <w:tc>
          <w:tcPr>
            <w:tcW w:w="2387" w:type="dxa"/>
            <w:tcBorders>
              <w:top w:val="single" w:sz="6" w:space="0" w:color="993366"/>
              <w:bottom w:val="single" w:sz="6" w:space="0" w:color="993366"/>
            </w:tcBorders>
            <w:shd w:val="clear" w:color="auto" w:fill="auto"/>
          </w:tcPr>
          <w:p w14:paraId="205D4644" w14:textId="77777777" w:rsidR="003D7AF8" w:rsidRPr="001D5987" w:rsidRDefault="003D7AF8" w:rsidP="000C6F9E">
            <w:pPr>
              <w:spacing w:after="0" w:line="240" w:lineRule="auto"/>
              <w:rPr>
                <w:rFonts w:ascii="Verdana" w:eastAsia="Cambria" w:hAnsi="Verdana" w:cs="Times New Roman"/>
                <w:color w:val="000000" w:themeColor="text1"/>
                <w:sz w:val="20"/>
                <w:szCs w:val="20"/>
              </w:rPr>
            </w:pPr>
            <w:r>
              <w:rPr>
                <w:rFonts w:ascii="Verdana" w:eastAsia="Cambria" w:hAnsi="Verdana" w:cs="Times New Roman"/>
                <w:color w:val="000000" w:themeColor="text1"/>
                <w:sz w:val="20"/>
                <w:szCs w:val="20"/>
              </w:rPr>
              <w:t>0</w:t>
            </w:r>
          </w:p>
        </w:tc>
        <w:tc>
          <w:tcPr>
            <w:tcW w:w="2835" w:type="dxa"/>
            <w:tcBorders>
              <w:top w:val="single" w:sz="6" w:space="0" w:color="993366"/>
              <w:bottom w:val="single" w:sz="6" w:space="0" w:color="993366"/>
            </w:tcBorders>
            <w:shd w:val="clear" w:color="auto" w:fill="auto"/>
          </w:tcPr>
          <w:p w14:paraId="355D6849" w14:textId="77777777" w:rsidR="003D7AF8" w:rsidRPr="001D5987" w:rsidRDefault="003D7AF8" w:rsidP="000C6F9E">
            <w:pPr>
              <w:spacing w:after="0" w:line="240" w:lineRule="auto"/>
              <w:rPr>
                <w:rFonts w:ascii="Verdana" w:eastAsia="Cambria" w:hAnsi="Verdana" w:cs="Times New Roman"/>
                <w:color w:val="000000" w:themeColor="text1"/>
                <w:sz w:val="20"/>
                <w:szCs w:val="20"/>
              </w:rPr>
            </w:pPr>
            <w:r>
              <w:rPr>
                <w:rFonts w:ascii="Verdana" w:eastAsia="Cambria" w:hAnsi="Verdana" w:cs="Times New Roman"/>
                <w:color w:val="000000" w:themeColor="text1"/>
                <w:sz w:val="20"/>
                <w:szCs w:val="20"/>
              </w:rPr>
              <w:t>0</w:t>
            </w:r>
          </w:p>
        </w:tc>
      </w:tr>
    </w:tbl>
    <w:p w14:paraId="6B3C0EBC" w14:textId="77777777" w:rsidR="003D7AF8" w:rsidRDefault="003D7AF8" w:rsidP="003D7AF8">
      <w:pPr>
        <w:spacing w:after="0" w:line="240" w:lineRule="auto"/>
        <w:jc w:val="both"/>
        <w:rPr>
          <w:rFonts w:ascii="Verdana" w:eastAsia="Cambria" w:hAnsi="Verdana" w:cs="Calibri"/>
        </w:rPr>
      </w:pPr>
    </w:p>
    <w:p w14:paraId="7A0E3250" w14:textId="77777777" w:rsidR="003D7AF8" w:rsidRDefault="003D7AF8" w:rsidP="003D7AF8">
      <w:pPr>
        <w:spacing w:after="0" w:line="240" w:lineRule="auto"/>
        <w:jc w:val="both"/>
        <w:rPr>
          <w:rFonts w:ascii="Verdana" w:eastAsia="Cambria" w:hAnsi="Verdana" w:cs="Calibri"/>
        </w:rPr>
      </w:pPr>
    </w:p>
    <w:p w14:paraId="0DAD162F" w14:textId="77777777" w:rsidR="003D7AF8" w:rsidRPr="00A74708" w:rsidRDefault="003D7AF8" w:rsidP="003D7AF8">
      <w:pPr>
        <w:spacing w:after="0" w:line="240" w:lineRule="auto"/>
        <w:jc w:val="both"/>
        <w:rPr>
          <w:rFonts w:ascii="Verdana" w:eastAsia="Cambria" w:hAnsi="Verdana" w:cs="Calibri"/>
          <w:i/>
          <w:sz w:val="20"/>
          <w:szCs w:val="20"/>
        </w:rPr>
      </w:pPr>
      <w:r w:rsidRPr="00A74708">
        <w:rPr>
          <w:rFonts w:ascii="Verdana" w:eastAsia="Cambria" w:hAnsi="Verdana" w:cs="Calibri"/>
          <w:i/>
          <w:sz w:val="20"/>
          <w:szCs w:val="20"/>
        </w:rPr>
        <w:t>OPOMB</w:t>
      </w:r>
      <w:r>
        <w:rPr>
          <w:rFonts w:ascii="Verdana" w:eastAsia="Cambria" w:hAnsi="Verdana" w:cs="Calibri"/>
          <w:i/>
          <w:sz w:val="20"/>
          <w:szCs w:val="20"/>
        </w:rPr>
        <w:t>I</w:t>
      </w:r>
      <w:r w:rsidRPr="00A74708">
        <w:rPr>
          <w:rFonts w:ascii="Verdana" w:eastAsia="Cambria" w:hAnsi="Verdana" w:cs="Calibri"/>
          <w:i/>
          <w:sz w:val="20"/>
          <w:szCs w:val="20"/>
        </w:rPr>
        <w:t xml:space="preserve">: </w:t>
      </w:r>
    </w:p>
    <w:p w14:paraId="4438CAF0" w14:textId="3A10907D" w:rsidR="003D7AF8" w:rsidRDefault="003D7AF8" w:rsidP="003D7AF8">
      <w:pPr>
        <w:spacing w:after="0" w:line="240" w:lineRule="auto"/>
        <w:ind w:left="360"/>
        <w:jc w:val="both"/>
        <w:rPr>
          <w:rFonts w:ascii="Verdana" w:eastAsia="Cambria" w:hAnsi="Verdana" w:cs="Calibri"/>
          <w:i/>
          <w:sz w:val="20"/>
          <w:szCs w:val="20"/>
        </w:rPr>
      </w:pPr>
      <w:r w:rsidRPr="00A74708">
        <w:rPr>
          <w:rFonts w:ascii="Verdana" w:eastAsia="Cambria" w:hAnsi="Verdana" w:cs="Calibri"/>
          <w:i/>
          <w:sz w:val="20"/>
          <w:szCs w:val="20"/>
        </w:rPr>
        <w:t xml:space="preserve">*V postopku akreditacije skupnega študijskega programa po starih merilih mora zavod priložiti dokazila o akreditaciji tega programa v partnerskih državah. </w:t>
      </w:r>
      <w:r>
        <w:rPr>
          <w:rFonts w:ascii="Verdana" w:eastAsia="Cambria" w:hAnsi="Verdana" w:cs="Calibri"/>
          <w:i/>
          <w:sz w:val="20"/>
          <w:szCs w:val="20"/>
        </w:rPr>
        <w:t>P</w:t>
      </w:r>
      <w:r w:rsidRPr="00A74708">
        <w:rPr>
          <w:rFonts w:ascii="Verdana" w:eastAsia="Cambria" w:hAnsi="Verdana" w:cs="Calibri"/>
          <w:i/>
          <w:sz w:val="20"/>
          <w:szCs w:val="20"/>
        </w:rPr>
        <w:t xml:space="preserve">ortugalska agencija </w:t>
      </w:r>
      <w:r>
        <w:rPr>
          <w:rFonts w:ascii="Verdana" w:eastAsia="Cambria" w:hAnsi="Verdana" w:cs="Calibri"/>
          <w:i/>
          <w:sz w:val="20"/>
          <w:szCs w:val="20"/>
        </w:rPr>
        <w:t xml:space="preserve">je šele 9. 11. </w:t>
      </w:r>
      <w:r w:rsidR="00911F52">
        <w:rPr>
          <w:rFonts w:ascii="Verdana" w:eastAsia="Cambria" w:hAnsi="Verdana" w:cs="Calibri"/>
          <w:i/>
          <w:sz w:val="20"/>
          <w:szCs w:val="20"/>
        </w:rPr>
        <w:t xml:space="preserve">2018 </w:t>
      </w:r>
      <w:r w:rsidRPr="00A74708">
        <w:rPr>
          <w:rFonts w:ascii="Verdana" w:eastAsia="Cambria" w:hAnsi="Verdana" w:cs="Calibri"/>
          <w:i/>
          <w:sz w:val="20"/>
          <w:szCs w:val="20"/>
        </w:rPr>
        <w:t>izdala</w:t>
      </w:r>
      <w:r>
        <w:rPr>
          <w:rFonts w:ascii="Verdana" w:eastAsia="Cambria" w:hAnsi="Verdana" w:cs="Calibri"/>
          <w:i/>
          <w:sz w:val="20"/>
          <w:szCs w:val="20"/>
        </w:rPr>
        <w:t xml:space="preserve"> potrdilo, da je program v akreditacijskem postopku, poleg tega se vlagatelj n</w:t>
      </w:r>
      <w:r w:rsidR="00911F52">
        <w:rPr>
          <w:rFonts w:ascii="Verdana" w:eastAsia="Cambria" w:hAnsi="Verdana" w:cs="Calibri"/>
          <w:i/>
          <w:sz w:val="20"/>
          <w:szCs w:val="20"/>
        </w:rPr>
        <w:t>i</w:t>
      </w:r>
      <w:r>
        <w:rPr>
          <w:rFonts w:ascii="Verdana" w:eastAsia="Cambria" w:hAnsi="Verdana" w:cs="Calibri"/>
          <w:i/>
          <w:sz w:val="20"/>
          <w:szCs w:val="20"/>
        </w:rPr>
        <w:t xml:space="preserve"> odz</w:t>
      </w:r>
      <w:r w:rsidR="00911F52">
        <w:rPr>
          <w:rFonts w:ascii="Verdana" w:eastAsia="Cambria" w:hAnsi="Verdana" w:cs="Calibri"/>
          <w:i/>
          <w:sz w:val="20"/>
          <w:szCs w:val="20"/>
        </w:rPr>
        <w:t>val</w:t>
      </w:r>
      <w:r>
        <w:rPr>
          <w:rFonts w:ascii="Verdana" w:eastAsia="Cambria" w:hAnsi="Verdana" w:cs="Calibri"/>
          <w:i/>
          <w:sz w:val="20"/>
          <w:szCs w:val="20"/>
        </w:rPr>
        <w:t xml:space="preserve"> na poročilo strokovnjakov. Postopek traja vse od 28. 10. 2016, zato ga je treba čim prej končati. </w:t>
      </w:r>
    </w:p>
    <w:p w14:paraId="51CE2610" w14:textId="3A364A6B" w:rsidR="003D7AF8" w:rsidRPr="005239BE" w:rsidRDefault="003D7AF8" w:rsidP="005239BE">
      <w:pPr>
        <w:pStyle w:val="Pripombabesedilo"/>
        <w:ind w:left="360"/>
        <w:rPr>
          <w:rFonts w:ascii="Verdana" w:hAnsi="Verdana"/>
          <w:i/>
        </w:rPr>
      </w:pPr>
      <w:r w:rsidRPr="00B32D30">
        <w:rPr>
          <w:rFonts w:ascii="Verdana" w:hAnsi="Verdana" w:cs="Calibri"/>
          <w:i/>
        </w:rPr>
        <w:t>**</w:t>
      </w:r>
      <w:r>
        <w:rPr>
          <w:rFonts w:ascii="Verdana" w:hAnsi="Verdana" w:cs="Calibri"/>
          <w:i/>
        </w:rPr>
        <w:t>Gre za primer neupravičenega</w:t>
      </w:r>
      <w:r w:rsidR="00FF29A2">
        <w:rPr>
          <w:rFonts w:ascii="Verdana" w:hAnsi="Verdana" w:cs="Calibri"/>
          <w:i/>
        </w:rPr>
        <w:t xml:space="preserve"> prekomernega</w:t>
      </w:r>
      <w:r>
        <w:rPr>
          <w:rFonts w:ascii="Verdana" w:hAnsi="Verdana" w:cs="Calibri"/>
          <w:i/>
        </w:rPr>
        <w:t xml:space="preserve"> trajanja postopka.</w:t>
      </w:r>
      <w:r w:rsidRPr="00B32D30">
        <w:rPr>
          <w:rFonts w:ascii="Verdana" w:hAnsi="Verdana"/>
          <w:i/>
        </w:rPr>
        <w:t xml:space="preserve"> </w:t>
      </w:r>
      <w:r>
        <w:rPr>
          <w:rFonts w:ascii="Verdana" w:hAnsi="Verdana"/>
          <w:i/>
        </w:rPr>
        <w:t>V</w:t>
      </w:r>
      <w:r w:rsidRPr="00B32D30">
        <w:rPr>
          <w:rFonts w:ascii="Verdana" w:hAnsi="Verdana"/>
          <w:i/>
        </w:rPr>
        <w:t xml:space="preserve">loga </w:t>
      </w:r>
      <w:r>
        <w:rPr>
          <w:rFonts w:ascii="Verdana" w:hAnsi="Verdana"/>
          <w:i/>
        </w:rPr>
        <w:t>je bila vložena</w:t>
      </w:r>
      <w:r w:rsidRPr="00B32D30">
        <w:rPr>
          <w:rFonts w:ascii="Verdana" w:hAnsi="Verdana"/>
          <w:i/>
        </w:rPr>
        <w:t xml:space="preserve"> 9.</w:t>
      </w:r>
      <w:r>
        <w:rPr>
          <w:rFonts w:ascii="Verdana" w:hAnsi="Verdana"/>
          <w:i/>
        </w:rPr>
        <w:t xml:space="preserve"> </w:t>
      </w:r>
      <w:r w:rsidRPr="00B32D30">
        <w:rPr>
          <w:rFonts w:ascii="Verdana" w:hAnsi="Verdana"/>
          <w:i/>
        </w:rPr>
        <w:t>9.</w:t>
      </w:r>
      <w:r>
        <w:rPr>
          <w:rFonts w:ascii="Verdana" w:hAnsi="Verdana"/>
          <w:i/>
        </w:rPr>
        <w:t xml:space="preserve"> </w:t>
      </w:r>
      <w:r w:rsidRPr="00B32D30">
        <w:rPr>
          <w:rFonts w:ascii="Verdana" w:hAnsi="Verdana"/>
          <w:i/>
        </w:rPr>
        <w:t>2016</w:t>
      </w:r>
      <w:r>
        <w:rPr>
          <w:rFonts w:ascii="Verdana" w:hAnsi="Verdana"/>
          <w:i/>
        </w:rPr>
        <w:t>,</w:t>
      </w:r>
      <w:r w:rsidRPr="00B32D30">
        <w:rPr>
          <w:rFonts w:ascii="Verdana" w:hAnsi="Verdana"/>
          <w:i/>
        </w:rPr>
        <w:t xml:space="preserve"> </w:t>
      </w:r>
      <w:r>
        <w:rPr>
          <w:rFonts w:ascii="Verdana" w:hAnsi="Verdana"/>
          <w:i/>
        </w:rPr>
        <w:t>p</w:t>
      </w:r>
      <w:r w:rsidRPr="00B32D30">
        <w:rPr>
          <w:rFonts w:ascii="Verdana" w:hAnsi="Verdana"/>
          <w:i/>
        </w:rPr>
        <w:t xml:space="preserve">ostopek je </w:t>
      </w:r>
      <w:r>
        <w:rPr>
          <w:rFonts w:ascii="Verdana" w:hAnsi="Verdana"/>
          <w:i/>
        </w:rPr>
        <w:t>»</w:t>
      </w:r>
      <w:r w:rsidRPr="00B32D30">
        <w:rPr>
          <w:rFonts w:ascii="Verdana" w:hAnsi="Verdana"/>
          <w:i/>
        </w:rPr>
        <w:t>stal</w:t>
      </w:r>
      <w:r>
        <w:rPr>
          <w:rFonts w:ascii="Verdana" w:hAnsi="Verdana"/>
          <w:i/>
        </w:rPr>
        <w:t>«</w:t>
      </w:r>
      <w:r w:rsidRPr="00B32D30">
        <w:rPr>
          <w:rFonts w:ascii="Verdana" w:hAnsi="Verdana"/>
          <w:i/>
        </w:rPr>
        <w:t xml:space="preserve"> do 4.</w:t>
      </w:r>
      <w:r>
        <w:rPr>
          <w:rFonts w:ascii="Verdana" w:hAnsi="Verdana"/>
          <w:i/>
        </w:rPr>
        <w:t xml:space="preserve"> </w:t>
      </w:r>
      <w:r w:rsidRPr="00B32D30">
        <w:rPr>
          <w:rFonts w:ascii="Verdana" w:hAnsi="Verdana"/>
          <w:i/>
        </w:rPr>
        <w:t>6.</w:t>
      </w:r>
      <w:r>
        <w:rPr>
          <w:rFonts w:ascii="Verdana" w:hAnsi="Verdana"/>
          <w:i/>
        </w:rPr>
        <w:t xml:space="preserve"> </w:t>
      </w:r>
      <w:r w:rsidRPr="00B32D30">
        <w:rPr>
          <w:rFonts w:ascii="Verdana" w:hAnsi="Verdana"/>
          <w:i/>
        </w:rPr>
        <w:t xml:space="preserve">2018. </w:t>
      </w:r>
      <w:r>
        <w:rPr>
          <w:rFonts w:ascii="Verdana" w:hAnsi="Verdana"/>
          <w:i/>
        </w:rPr>
        <w:t>Zdaj</w:t>
      </w:r>
      <w:r w:rsidRPr="00B32D30">
        <w:rPr>
          <w:rFonts w:ascii="Verdana" w:hAnsi="Verdana"/>
          <w:i/>
        </w:rPr>
        <w:t xml:space="preserve"> čakamo odg</w:t>
      </w:r>
      <w:r>
        <w:rPr>
          <w:rFonts w:ascii="Verdana" w:hAnsi="Verdana"/>
          <w:i/>
        </w:rPr>
        <w:t>ovor</w:t>
      </w:r>
      <w:r w:rsidRPr="00B32D30">
        <w:rPr>
          <w:rFonts w:ascii="Verdana" w:hAnsi="Verdana"/>
          <w:i/>
        </w:rPr>
        <w:t xml:space="preserve"> vlagatelja na poročilo </w:t>
      </w:r>
      <w:r>
        <w:rPr>
          <w:rFonts w:ascii="Verdana" w:hAnsi="Verdana"/>
          <w:i/>
        </w:rPr>
        <w:t xml:space="preserve">strokovnjakov - </w:t>
      </w:r>
      <w:r w:rsidR="005239BE">
        <w:rPr>
          <w:rFonts w:ascii="Verdana" w:hAnsi="Verdana"/>
          <w:i/>
        </w:rPr>
        <w:t>do 7.</w:t>
      </w:r>
      <w:r w:rsidR="00FF29A2">
        <w:rPr>
          <w:rFonts w:ascii="Verdana" w:hAnsi="Verdana"/>
          <w:i/>
        </w:rPr>
        <w:t xml:space="preserve"> </w:t>
      </w:r>
      <w:r w:rsidR="005239BE">
        <w:rPr>
          <w:rFonts w:ascii="Verdana" w:hAnsi="Verdana"/>
          <w:i/>
        </w:rPr>
        <w:t>2.</w:t>
      </w:r>
      <w:r w:rsidR="00FF29A2">
        <w:rPr>
          <w:rFonts w:ascii="Verdana" w:hAnsi="Verdana"/>
          <w:i/>
        </w:rPr>
        <w:t xml:space="preserve"> </w:t>
      </w:r>
      <w:r w:rsidR="005239BE">
        <w:rPr>
          <w:rFonts w:ascii="Verdana" w:hAnsi="Verdana"/>
          <w:i/>
        </w:rPr>
        <w:t>2019.</w:t>
      </w:r>
    </w:p>
    <w:p w14:paraId="6C971B96" w14:textId="77777777" w:rsidR="003D7AF8" w:rsidRDefault="003D7AF8" w:rsidP="003D7AF8">
      <w:pPr>
        <w:spacing w:after="0" w:line="240" w:lineRule="auto"/>
        <w:jc w:val="both"/>
        <w:rPr>
          <w:rFonts w:ascii="Verdana" w:eastAsia="Cambria" w:hAnsi="Verdana" w:cs="Calibri"/>
        </w:rPr>
      </w:pPr>
      <w:r>
        <w:rPr>
          <w:rFonts w:ascii="Verdana" w:eastAsia="Cambria" w:hAnsi="Verdana" w:cs="Calibri"/>
        </w:rPr>
        <w:t>POJASNILO:</w:t>
      </w:r>
    </w:p>
    <w:p w14:paraId="7C0A3948" w14:textId="77777777" w:rsidR="003D7AF8" w:rsidRDefault="003D7AF8" w:rsidP="003D7AF8">
      <w:pPr>
        <w:spacing w:after="0" w:line="240" w:lineRule="auto"/>
        <w:jc w:val="both"/>
        <w:rPr>
          <w:rFonts w:ascii="Verdana" w:eastAsia="Cambria" w:hAnsi="Verdana" w:cs="Calibri"/>
        </w:rPr>
      </w:pPr>
    </w:p>
    <w:p w14:paraId="2F447FA9" w14:textId="64DE6B3B" w:rsidR="003D7AF8" w:rsidRDefault="003D7AF8" w:rsidP="003D7AF8">
      <w:pPr>
        <w:spacing w:after="0" w:line="240" w:lineRule="auto"/>
        <w:jc w:val="both"/>
        <w:rPr>
          <w:rFonts w:ascii="Verdana" w:eastAsia="Cambria" w:hAnsi="Verdana" w:cs="Calibri"/>
        </w:rPr>
      </w:pPr>
      <w:r>
        <w:rPr>
          <w:rFonts w:ascii="Verdana" w:eastAsia="Cambria" w:hAnsi="Verdana" w:cs="Calibri"/>
        </w:rPr>
        <w:t xml:space="preserve">V preglednici je prikazano število akreditacijskih in evalvacijskih odločitev </w:t>
      </w:r>
      <w:r w:rsidR="00911F52">
        <w:rPr>
          <w:rFonts w:ascii="Verdana" w:eastAsia="Cambria" w:hAnsi="Verdana" w:cs="Calibri"/>
        </w:rPr>
        <w:t xml:space="preserve">v letu 2018 </w:t>
      </w:r>
      <w:r>
        <w:rPr>
          <w:rFonts w:ascii="Verdana" w:eastAsia="Cambria" w:hAnsi="Verdana" w:cs="Calibri"/>
        </w:rPr>
        <w:t xml:space="preserve">o vlogah, ki so bile vložene pred tem letom, praviloma po merilih, ki so veljala do uveljavitve ZViS-K decembra 2016. Med njimi so odločitve o podaljšanju akreditacije 22 programom, ti postopki so trajali predolgo, v povprečju 26 mesecev. Vzroki za to so podrobneje opisani na </w:t>
      </w:r>
      <w:r w:rsidRPr="00FF0B53">
        <w:rPr>
          <w:rFonts w:ascii="Verdana" w:eastAsia="Cambria" w:hAnsi="Verdana" w:cs="Calibri"/>
        </w:rPr>
        <w:t>str</w:t>
      </w:r>
      <w:r w:rsidR="00C762A2" w:rsidRPr="00FF0B53">
        <w:rPr>
          <w:rFonts w:ascii="Verdana" w:eastAsia="Cambria" w:hAnsi="Verdana" w:cs="Calibri"/>
        </w:rPr>
        <w:t xml:space="preserve">ani </w:t>
      </w:r>
      <w:r w:rsidR="00911F52" w:rsidRPr="00FF0B53">
        <w:rPr>
          <w:rFonts w:ascii="Verdana" w:eastAsia="Cambria" w:hAnsi="Verdana" w:cs="Calibri"/>
        </w:rPr>
        <w:t>22.</w:t>
      </w:r>
      <w:r>
        <w:rPr>
          <w:rFonts w:ascii="Verdana" w:eastAsia="Cambria" w:hAnsi="Verdana" w:cs="Calibri"/>
        </w:rPr>
        <w:t xml:space="preserve"> v pojasnilih k preglednici 4. Akreditacija jim je bila v skladu z novimi merili podaljšana za nedoločen čas.</w:t>
      </w:r>
    </w:p>
    <w:p w14:paraId="71E23DA6" w14:textId="77777777" w:rsidR="003D7AF8" w:rsidRDefault="003D7AF8" w:rsidP="003D7AF8">
      <w:pPr>
        <w:spacing w:after="0" w:line="240" w:lineRule="auto"/>
        <w:jc w:val="both"/>
        <w:rPr>
          <w:rFonts w:ascii="Verdana" w:eastAsia="Cambria" w:hAnsi="Verdana" w:cs="Calibri"/>
        </w:rPr>
      </w:pPr>
    </w:p>
    <w:p w14:paraId="0F63FF8B" w14:textId="77777777" w:rsidR="003D7AF8" w:rsidRDefault="003D7AF8" w:rsidP="003D7AF8">
      <w:pPr>
        <w:spacing w:after="0" w:line="240" w:lineRule="auto"/>
        <w:jc w:val="both"/>
        <w:rPr>
          <w:rFonts w:ascii="Verdana" w:eastAsia="Cambria" w:hAnsi="Verdana" w:cs="Calibri"/>
        </w:rPr>
      </w:pPr>
      <w:r>
        <w:rPr>
          <w:rFonts w:ascii="Verdana" w:eastAsia="Cambria" w:hAnsi="Verdana" w:cs="Calibri"/>
        </w:rPr>
        <w:t>V letu 2018 je bilo pozitivno odločeno o skupaj 34 vlogah po starih merilih, med nekončanimi postopki jih je še 6:</w:t>
      </w:r>
    </w:p>
    <w:p w14:paraId="0A4F4341" w14:textId="54319440" w:rsidR="003D7AF8" w:rsidRDefault="003D7AF8" w:rsidP="003D7AF8">
      <w:pPr>
        <w:pStyle w:val="Odstavekseznama"/>
        <w:numPr>
          <w:ilvl w:val="0"/>
          <w:numId w:val="36"/>
        </w:numPr>
        <w:spacing w:after="0" w:line="240" w:lineRule="auto"/>
        <w:jc w:val="both"/>
        <w:rPr>
          <w:rFonts w:ascii="Verdana" w:eastAsia="Cambria" w:hAnsi="Verdana" w:cs="Calibri"/>
        </w:rPr>
      </w:pPr>
      <w:r>
        <w:rPr>
          <w:rFonts w:ascii="Verdana" w:eastAsia="Cambria" w:hAnsi="Verdana" w:cs="Calibri"/>
        </w:rPr>
        <w:t xml:space="preserve">tri vloge za prvo akreditacijo programov (dve sta </w:t>
      </w:r>
      <w:r w:rsidR="0041199F">
        <w:rPr>
          <w:rFonts w:ascii="Verdana" w:eastAsia="Cambria" w:hAnsi="Verdana" w:cs="Calibri"/>
        </w:rPr>
        <w:t xml:space="preserve">bili po odločitvi pritožbene komisije vrnjeni </w:t>
      </w:r>
      <w:r w:rsidR="0041199F" w:rsidRPr="00F416A1">
        <w:rPr>
          <w:rFonts w:ascii="Verdana" w:eastAsia="Cambria" w:hAnsi="Verdana" w:cs="Calibri"/>
        </w:rPr>
        <w:t>v odločanje</w:t>
      </w:r>
      <w:r w:rsidR="0041199F">
        <w:rPr>
          <w:rFonts w:ascii="Verdana" w:eastAsia="Cambria" w:hAnsi="Verdana" w:cs="Calibri"/>
        </w:rPr>
        <w:t xml:space="preserve"> na </w:t>
      </w:r>
      <w:r w:rsidR="00911F52">
        <w:rPr>
          <w:rFonts w:ascii="Verdana" w:eastAsia="Cambria" w:hAnsi="Verdana" w:cs="Calibri"/>
        </w:rPr>
        <w:t>prvo</w:t>
      </w:r>
      <w:r w:rsidR="0041199F">
        <w:rPr>
          <w:rFonts w:ascii="Verdana" w:eastAsia="Cambria" w:hAnsi="Verdana" w:cs="Calibri"/>
        </w:rPr>
        <w:t xml:space="preserve"> stopnjo</w:t>
      </w:r>
      <w:r>
        <w:rPr>
          <w:rFonts w:ascii="Verdana" w:eastAsia="Cambria" w:hAnsi="Verdana" w:cs="Calibri"/>
        </w:rPr>
        <w:t>, pri eni gre za skupni študijski program),</w:t>
      </w:r>
    </w:p>
    <w:p w14:paraId="1DD3BA3B" w14:textId="77777777" w:rsidR="003D7AF8" w:rsidRDefault="003D7AF8" w:rsidP="003D7AF8">
      <w:pPr>
        <w:pStyle w:val="Odstavekseznama"/>
        <w:numPr>
          <w:ilvl w:val="0"/>
          <w:numId w:val="36"/>
        </w:numPr>
        <w:spacing w:after="0" w:line="240" w:lineRule="auto"/>
        <w:jc w:val="both"/>
        <w:rPr>
          <w:rFonts w:ascii="Verdana" w:eastAsia="Cambria" w:hAnsi="Verdana" w:cs="Calibri"/>
        </w:rPr>
      </w:pPr>
      <w:r>
        <w:rPr>
          <w:rFonts w:ascii="Verdana" w:eastAsia="Cambria" w:hAnsi="Verdana" w:cs="Calibri"/>
        </w:rPr>
        <w:t>ena vloga za podaljšanje akreditacije programa (v pritožbenem postopku) ter</w:t>
      </w:r>
    </w:p>
    <w:p w14:paraId="5E9C23F3" w14:textId="0D114474" w:rsidR="003D7AF8" w:rsidRPr="005143D8" w:rsidRDefault="003D7AF8" w:rsidP="003D7AF8">
      <w:pPr>
        <w:pStyle w:val="Odstavekseznama"/>
        <w:numPr>
          <w:ilvl w:val="0"/>
          <w:numId w:val="36"/>
        </w:numPr>
        <w:spacing w:after="0" w:line="240" w:lineRule="auto"/>
        <w:jc w:val="both"/>
        <w:rPr>
          <w:rFonts w:ascii="Verdana" w:eastAsia="Cambria" w:hAnsi="Verdana" w:cs="Calibri"/>
        </w:rPr>
      </w:pPr>
      <w:r>
        <w:rPr>
          <w:rFonts w:ascii="Verdana" w:eastAsia="Cambria" w:hAnsi="Verdana" w:cs="Calibri"/>
        </w:rPr>
        <w:t>dve vlogi za prvo akreditacijo zavodov. V opombah k preglednici je zapisano, zakaj  postopk</w:t>
      </w:r>
      <w:r w:rsidR="00911F52">
        <w:rPr>
          <w:rFonts w:ascii="Verdana" w:eastAsia="Cambria" w:hAnsi="Verdana" w:cs="Calibri"/>
        </w:rPr>
        <w:t>a</w:t>
      </w:r>
      <w:r>
        <w:rPr>
          <w:rFonts w:ascii="Verdana" w:eastAsia="Cambria" w:hAnsi="Verdana" w:cs="Calibri"/>
        </w:rPr>
        <w:t xml:space="preserve"> še ni</w:t>
      </w:r>
      <w:r w:rsidR="00911F52">
        <w:rPr>
          <w:rFonts w:ascii="Verdana" w:eastAsia="Cambria" w:hAnsi="Verdana" w:cs="Calibri"/>
        </w:rPr>
        <w:t>sta</w:t>
      </w:r>
      <w:r>
        <w:rPr>
          <w:rFonts w:ascii="Verdana" w:eastAsia="Cambria" w:hAnsi="Verdana" w:cs="Calibri"/>
        </w:rPr>
        <w:t xml:space="preserve"> končan</w:t>
      </w:r>
      <w:r w:rsidR="00911F52">
        <w:rPr>
          <w:rFonts w:ascii="Verdana" w:eastAsia="Cambria" w:hAnsi="Verdana" w:cs="Calibri"/>
        </w:rPr>
        <w:t>a</w:t>
      </w:r>
      <w:r>
        <w:rPr>
          <w:rFonts w:ascii="Verdana" w:eastAsia="Cambria" w:hAnsi="Verdana" w:cs="Calibri"/>
        </w:rPr>
        <w:t>.</w:t>
      </w:r>
    </w:p>
    <w:p w14:paraId="271C1C29" w14:textId="77777777" w:rsidR="003D7AF8" w:rsidRDefault="003D7AF8" w:rsidP="003D7AF8">
      <w:pPr>
        <w:spacing w:after="0" w:line="240" w:lineRule="auto"/>
        <w:jc w:val="both"/>
        <w:rPr>
          <w:rFonts w:ascii="Verdana" w:eastAsia="Cambria" w:hAnsi="Verdana" w:cs="Calibri"/>
        </w:rPr>
      </w:pPr>
    </w:p>
    <w:p w14:paraId="7C712689" w14:textId="52C650DB" w:rsidR="003D7AF8" w:rsidRDefault="003D7AF8" w:rsidP="003D7AF8">
      <w:pPr>
        <w:spacing w:after="0" w:line="240" w:lineRule="auto"/>
        <w:jc w:val="both"/>
        <w:rPr>
          <w:rFonts w:ascii="Verdana" w:eastAsia="Cambria" w:hAnsi="Verdana" w:cs="Calibri"/>
        </w:rPr>
      </w:pPr>
      <w:r>
        <w:rPr>
          <w:rFonts w:ascii="Verdana" w:eastAsia="Cambria" w:hAnsi="Verdana" w:cs="Calibri"/>
        </w:rPr>
        <w:t xml:space="preserve">Negativne odločitve sveta so prikazane v preglednici 3. Med njimi so tudi </w:t>
      </w:r>
      <w:r w:rsidRPr="00FF0B53">
        <w:rPr>
          <w:rFonts w:ascii="Verdana" w:eastAsia="Cambria" w:hAnsi="Verdana" w:cs="Calibri"/>
        </w:rPr>
        <w:t>tri v</w:t>
      </w:r>
      <w:r w:rsidRPr="00C762A2">
        <w:rPr>
          <w:rFonts w:ascii="Verdana" w:eastAsia="Cambria" w:hAnsi="Verdana" w:cs="Calibri"/>
        </w:rPr>
        <w:t>loge iz</w:t>
      </w:r>
      <w:r>
        <w:rPr>
          <w:rFonts w:ascii="Verdana" w:eastAsia="Cambria" w:hAnsi="Verdana" w:cs="Calibri"/>
        </w:rPr>
        <w:t xml:space="preserve"> prve in druge alineje prejšnjega odstavka, ki so v pritožbenem postopku</w:t>
      </w:r>
      <w:r w:rsidR="00911F52">
        <w:rPr>
          <w:rFonts w:ascii="Verdana" w:eastAsia="Cambria" w:hAnsi="Verdana" w:cs="Calibri"/>
        </w:rPr>
        <w:t xml:space="preserve"> ali so bile po pritožbi vrnjene na prvo stopnjo</w:t>
      </w:r>
      <w:r>
        <w:rPr>
          <w:rFonts w:ascii="Verdana" w:eastAsia="Cambria" w:hAnsi="Verdana" w:cs="Calibri"/>
        </w:rPr>
        <w:t>.</w:t>
      </w:r>
    </w:p>
    <w:p w14:paraId="1BE04737" w14:textId="77777777" w:rsidR="003D7AF8" w:rsidRDefault="003D7AF8" w:rsidP="003D7AF8">
      <w:pPr>
        <w:spacing w:after="0" w:line="240" w:lineRule="auto"/>
        <w:jc w:val="both"/>
        <w:rPr>
          <w:rFonts w:ascii="Verdana" w:eastAsia="Cambria" w:hAnsi="Verdana" w:cs="Calibri"/>
        </w:rPr>
      </w:pPr>
    </w:p>
    <w:p w14:paraId="0618BCC3" w14:textId="77777777" w:rsidR="003D7AF8" w:rsidRDefault="003D7AF8" w:rsidP="003D7AF8">
      <w:pPr>
        <w:spacing w:after="0" w:line="240" w:lineRule="auto"/>
        <w:jc w:val="both"/>
        <w:rPr>
          <w:rFonts w:ascii="Verdana" w:eastAsia="Cambria" w:hAnsi="Verdana" w:cs="Calibri"/>
        </w:rPr>
      </w:pPr>
    </w:p>
    <w:p w14:paraId="0180535E" w14:textId="77777777" w:rsidR="00ED351D" w:rsidRDefault="00ED351D" w:rsidP="003D7AF8">
      <w:pPr>
        <w:spacing w:after="0" w:line="240" w:lineRule="auto"/>
        <w:jc w:val="both"/>
        <w:rPr>
          <w:rFonts w:ascii="Verdana" w:eastAsia="Cambria" w:hAnsi="Verdana" w:cs="Calibri"/>
        </w:rPr>
      </w:pPr>
    </w:p>
    <w:p w14:paraId="330AF712" w14:textId="77777777" w:rsidR="00ED351D" w:rsidRDefault="00ED351D" w:rsidP="003D7AF8">
      <w:pPr>
        <w:spacing w:after="0" w:line="240" w:lineRule="auto"/>
        <w:jc w:val="both"/>
        <w:rPr>
          <w:rFonts w:ascii="Verdana" w:eastAsia="Cambria" w:hAnsi="Verdana" w:cs="Calibri"/>
        </w:rPr>
      </w:pPr>
    </w:p>
    <w:p w14:paraId="46B530AD" w14:textId="77777777" w:rsidR="00ED351D" w:rsidRDefault="00ED351D" w:rsidP="003D7AF8">
      <w:pPr>
        <w:spacing w:after="0" w:line="240" w:lineRule="auto"/>
        <w:jc w:val="both"/>
        <w:rPr>
          <w:rFonts w:ascii="Verdana" w:eastAsia="Cambria" w:hAnsi="Verdana" w:cs="Calibri"/>
        </w:rPr>
      </w:pPr>
    </w:p>
    <w:p w14:paraId="30193899" w14:textId="77777777" w:rsidR="00ED351D" w:rsidRPr="001530DF" w:rsidRDefault="00ED351D" w:rsidP="003D7AF8">
      <w:pPr>
        <w:spacing w:after="0" w:line="240" w:lineRule="auto"/>
        <w:jc w:val="both"/>
        <w:rPr>
          <w:rFonts w:ascii="Verdana" w:eastAsia="Cambria" w:hAnsi="Verdana" w:cs="Calibri"/>
        </w:rPr>
      </w:pPr>
    </w:p>
    <w:tbl>
      <w:tblPr>
        <w:tblW w:w="4828" w:type="pct"/>
        <w:tblBorders>
          <w:top w:val="single" w:sz="2" w:space="0" w:color="993366"/>
          <w:left w:val="single" w:sz="18" w:space="0" w:color="993366"/>
          <w:bottom w:val="single" w:sz="2" w:space="0" w:color="993366"/>
          <w:right w:val="single" w:sz="18" w:space="0" w:color="993366"/>
          <w:insideH w:val="single" w:sz="6" w:space="0" w:color="993366"/>
          <w:insideV w:val="single" w:sz="6" w:space="0" w:color="993366"/>
        </w:tblBorders>
        <w:tblLook w:val="04A0" w:firstRow="1" w:lastRow="0" w:firstColumn="1" w:lastColumn="0" w:noHBand="0" w:noVBand="1"/>
      </w:tblPr>
      <w:tblGrid>
        <w:gridCol w:w="2457"/>
        <w:gridCol w:w="1508"/>
        <w:gridCol w:w="1691"/>
        <w:gridCol w:w="1982"/>
        <w:gridCol w:w="1981"/>
      </w:tblGrid>
      <w:tr w:rsidR="003D7AF8" w:rsidRPr="00B42177" w14:paraId="69FF7AA3" w14:textId="77777777" w:rsidTr="000C6F9E">
        <w:tc>
          <w:tcPr>
            <w:tcW w:w="5000" w:type="pct"/>
            <w:gridSpan w:val="5"/>
            <w:shd w:val="clear" w:color="auto" w:fill="E5B8B7"/>
          </w:tcPr>
          <w:p w14:paraId="7E0E25A8" w14:textId="77777777" w:rsidR="003D7AF8" w:rsidRPr="00B42177" w:rsidRDefault="003D7AF8" w:rsidP="000C6F9E">
            <w:pPr>
              <w:spacing w:after="0" w:line="240" w:lineRule="auto"/>
              <w:contextualSpacing/>
              <w:rPr>
                <w:rFonts w:ascii="Verdana" w:eastAsia="Calibri" w:hAnsi="Verdana" w:cs="Times New Roman"/>
                <w:b/>
                <w:sz w:val="20"/>
                <w:szCs w:val="20"/>
              </w:rPr>
            </w:pPr>
          </w:p>
          <w:p w14:paraId="7FC78D4C" w14:textId="77777777" w:rsidR="003D7AF8" w:rsidRPr="00B42177" w:rsidRDefault="003D7AF8" w:rsidP="000C6F9E">
            <w:pPr>
              <w:spacing w:after="0" w:line="240" w:lineRule="auto"/>
              <w:jc w:val="both"/>
              <w:rPr>
                <w:rFonts w:ascii="Verdana" w:eastAsia="Cambria" w:hAnsi="Verdana" w:cs="Calibri"/>
                <w:b/>
                <w:sz w:val="18"/>
                <w:szCs w:val="18"/>
              </w:rPr>
            </w:pPr>
            <w:r w:rsidRPr="00B42177">
              <w:rPr>
                <w:rFonts w:ascii="Verdana" w:eastAsia="Cambria" w:hAnsi="Verdana" w:cs="Calibri"/>
                <w:b/>
                <w:sz w:val="18"/>
                <w:szCs w:val="18"/>
              </w:rPr>
              <w:t>Preglednica 2:</w:t>
            </w:r>
            <w:r w:rsidRPr="00B42177">
              <w:rPr>
                <w:rFonts w:ascii="Verdana" w:eastAsia="Cambria" w:hAnsi="Verdana" w:cs="Calibri"/>
                <w:b/>
                <w:sz w:val="20"/>
                <w:szCs w:val="20"/>
              </w:rPr>
              <w:t xml:space="preserve"> </w:t>
            </w:r>
            <w:r w:rsidRPr="00B42177">
              <w:rPr>
                <w:rFonts w:ascii="Verdana" w:eastAsia="Cambria" w:hAnsi="Verdana" w:cs="Times New Roman"/>
                <w:b/>
              </w:rPr>
              <w:t xml:space="preserve">OBRAVNAVA VLOG, VLOŽENIH V LETU 2018 </w:t>
            </w:r>
            <w:r w:rsidRPr="00B42177">
              <w:rPr>
                <w:rFonts w:ascii="Verdana" w:eastAsia="Cambria" w:hAnsi="Verdana" w:cs="Times New Roman"/>
                <w:b/>
                <w:sz w:val="18"/>
                <w:szCs w:val="18"/>
              </w:rPr>
              <w:t xml:space="preserve">(od 1. </w:t>
            </w:r>
            <w:r w:rsidRPr="00B42177">
              <w:rPr>
                <w:rFonts w:ascii="Verdana" w:eastAsia="Cambria" w:hAnsi="Verdana" w:cs="Times New Roman"/>
                <w:b/>
                <w:sz w:val="18"/>
                <w:szCs w:val="18"/>
                <w:lang w:val="en-US"/>
              </w:rPr>
              <w:t>1. do 31. 12. 2018)</w:t>
            </w:r>
            <w:r>
              <w:rPr>
                <w:rFonts w:ascii="Verdana" w:eastAsia="Cambria" w:hAnsi="Verdana" w:cs="Times New Roman"/>
                <w:b/>
                <w:sz w:val="18"/>
                <w:szCs w:val="18"/>
                <w:lang w:val="en-US"/>
              </w:rPr>
              <w:t>*</w:t>
            </w:r>
            <w:r w:rsidRPr="00B42177">
              <w:rPr>
                <w:rFonts w:ascii="Verdana" w:eastAsia="Cambria" w:hAnsi="Verdana" w:cs="Times New Roman"/>
                <w:b/>
                <w:sz w:val="18"/>
                <w:szCs w:val="18"/>
                <w:lang w:val="en-US"/>
              </w:rPr>
              <w:t xml:space="preserve"> </w:t>
            </w:r>
          </w:p>
          <w:p w14:paraId="258492C6" w14:textId="77777777" w:rsidR="003D7AF8" w:rsidRPr="00B42177" w:rsidRDefault="003D7AF8" w:rsidP="000C6F9E">
            <w:pPr>
              <w:spacing w:after="0" w:line="240" w:lineRule="auto"/>
              <w:contextualSpacing/>
              <w:rPr>
                <w:rFonts w:ascii="Verdana" w:eastAsia="Calibri" w:hAnsi="Verdana" w:cs="Times New Roman"/>
                <w:b/>
                <w:sz w:val="20"/>
                <w:szCs w:val="20"/>
              </w:rPr>
            </w:pPr>
          </w:p>
        </w:tc>
      </w:tr>
      <w:tr w:rsidR="003D7AF8" w:rsidRPr="00B42177" w14:paraId="600B3A62" w14:textId="77777777" w:rsidTr="000C6F9E">
        <w:tc>
          <w:tcPr>
            <w:tcW w:w="5000" w:type="pct"/>
            <w:gridSpan w:val="5"/>
            <w:shd w:val="clear" w:color="auto" w:fill="D6E3BC"/>
          </w:tcPr>
          <w:p w14:paraId="0910AEB6" w14:textId="77777777" w:rsidR="003D7AF8" w:rsidRPr="00B42177" w:rsidRDefault="003D7AF8" w:rsidP="003D7AF8">
            <w:pPr>
              <w:numPr>
                <w:ilvl w:val="0"/>
                <w:numId w:val="27"/>
              </w:numPr>
              <w:spacing w:after="0" w:line="240" w:lineRule="auto"/>
              <w:rPr>
                <w:rFonts w:ascii="Verdana" w:eastAsia="Cambria" w:hAnsi="Verdana" w:cs="Times New Roman"/>
                <w:b/>
                <w:sz w:val="20"/>
                <w:szCs w:val="20"/>
              </w:rPr>
            </w:pPr>
            <w:r w:rsidRPr="00B42177">
              <w:rPr>
                <w:rFonts w:ascii="Verdana" w:eastAsia="Cambria" w:hAnsi="Verdana" w:cs="Times New Roman"/>
                <w:b/>
                <w:sz w:val="20"/>
                <w:szCs w:val="20"/>
              </w:rPr>
              <w:t>akreditacije v visokem šolstvu</w:t>
            </w:r>
          </w:p>
        </w:tc>
      </w:tr>
      <w:tr w:rsidR="003D7AF8" w:rsidRPr="00B42177" w14:paraId="3CACBCA1" w14:textId="77777777" w:rsidTr="000C6F9E">
        <w:tc>
          <w:tcPr>
            <w:tcW w:w="1278" w:type="pct"/>
            <w:shd w:val="clear" w:color="auto" w:fill="B8CCE4"/>
          </w:tcPr>
          <w:p w14:paraId="29CB9945" w14:textId="77777777" w:rsidR="003D7AF8" w:rsidRPr="00B42177" w:rsidRDefault="003D7AF8" w:rsidP="000C6F9E">
            <w:pPr>
              <w:spacing w:after="0" w:line="240" w:lineRule="auto"/>
              <w:rPr>
                <w:rFonts w:ascii="Verdana" w:eastAsia="Cambria" w:hAnsi="Verdana" w:cs="Times New Roman"/>
                <w:b/>
                <w:sz w:val="20"/>
                <w:szCs w:val="20"/>
              </w:rPr>
            </w:pPr>
            <w:r w:rsidRPr="00B42177">
              <w:rPr>
                <w:rFonts w:ascii="Verdana" w:eastAsia="Cambria" w:hAnsi="Verdana" w:cs="Times New Roman"/>
                <w:b/>
                <w:sz w:val="20"/>
                <w:szCs w:val="20"/>
              </w:rPr>
              <w:t>Naloga</w:t>
            </w:r>
          </w:p>
        </w:tc>
        <w:tc>
          <w:tcPr>
            <w:tcW w:w="781" w:type="pct"/>
            <w:shd w:val="clear" w:color="auto" w:fill="B8CCE4"/>
          </w:tcPr>
          <w:p w14:paraId="02C3B37A" w14:textId="77777777" w:rsidR="003D7AF8" w:rsidRPr="00B42177" w:rsidRDefault="003D7AF8" w:rsidP="000C6F9E">
            <w:pPr>
              <w:spacing w:after="0" w:line="240" w:lineRule="auto"/>
              <w:rPr>
                <w:rFonts w:ascii="Verdana" w:eastAsia="Cambria" w:hAnsi="Verdana" w:cs="Times New Roman"/>
                <w:b/>
                <w:sz w:val="20"/>
                <w:szCs w:val="20"/>
              </w:rPr>
            </w:pPr>
            <w:r w:rsidRPr="00B42177">
              <w:rPr>
                <w:rFonts w:ascii="Verdana" w:eastAsia="Cambria" w:hAnsi="Verdana" w:cs="Times New Roman"/>
                <w:b/>
                <w:sz w:val="20"/>
                <w:szCs w:val="20"/>
              </w:rPr>
              <w:t>Predvideno število vlog</w:t>
            </w:r>
          </w:p>
        </w:tc>
        <w:tc>
          <w:tcPr>
            <w:tcW w:w="880" w:type="pct"/>
            <w:shd w:val="clear" w:color="auto" w:fill="B8CCE4"/>
          </w:tcPr>
          <w:p w14:paraId="28C906C5" w14:textId="77777777" w:rsidR="003D7AF8" w:rsidRPr="00B42177" w:rsidRDefault="003D7AF8" w:rsidP="000C6F9E">
            <w:pPr>
              <w:spacing w:after="0" w:line="240" w:lineRule="auto"/>
              <w:rPr>
                <w:rFonts w:ascii="Verdana" w:eastAsia="Cambria" w:hAnsi="Verdana" w:cs="Times New Roman"/>
                <w:b/>
                <w:sz w:val="20"/>
                <w:szCs w:val="20"/>
              </w:rPr>
            </w:pPr>
            <w:r w:rsidRPr="00B42177">
              <w:rPr>
                <w:rFonts w:ascii="Verdana" w:eastAsia="Cambria" w:hAnsi="Verdana" w:cs="Times New Roman"/>
                <w:b/>
                <w:sz w:val="20"/>
                <w:szCs w:val="20"/>
              </w:rPr>
              <w:t xml:space="preserve">Št. prejetih vlog  </w:t>
            </w:r>
          </w:p>
        </w:tc>
        <w:tc>
          <w:tcPr>
            <w:tcW w:w="1031" w:type="pct"/>
            <w:shd w:val="clear" w:color="auto" w:fill="B8CCE4"/>
          </w:tcPr>
          <w:p w14:paraId="431576EE" w14:textId="77777777" w:rsidR="003D7AF8" w:rsidRPr="00B42177" w:rsidRDefault="003D7AF8" w:rsidP="000C6F9E">
            <w:pPr>
              <w:spacing w:after="0" w:line="240" w:lineRule="auto"/>
              <w:rPr>
                <w:rFonts w:ascii="Verdana" w:eastAsia="Cambria" w:hAnsi="Verdana" w:cs="Times New Roman"/>
                <w:b/>
                <w:sz w:val="20"/>
                <w:szCs w:val="20"/>
              </w:rPr>
            </w:pPr>
            <w:r w:rsidRPr="00B42177">
              <w:rPr>
                <w:rFonts w:ascii="Verdana" w:eastAsia="Cambria" w:hAnsi="Verdana" w:cs="Times New Roman"/>
                <w:b/>
                <w:sz w:val="20"/>
                <w:szCs w:val="20"/>
              </w:rPr>
              <w:t>Št. akreditacij do 31. 12. 201</w:t>
            </w:r>
            <w:r>
              <w:rPr>
                <w:rFonts w:ascii="Verdana" w:eastAsia="Cambria" w:hAnsi="Verdana" w:cs="Times New Roman"/>
                <w:b/>
                <w:sz w:val="20"/>
                <w:szCs w:val="20"/>
              </w:rPr>
              <w:t>8</w:t>
            </w:r>
          </w:p>
        </w:tc>
        <w:tc>
          <w:tcPr>
            <w:tcW w:w="1030" w:type="pct"/>
            <w:shd w:val="clear" w:color="auto" w:fill="B8CCE4"/>
          </w:tcPr>
          <w:p w14:paraId="29805E41" w14:textId="77777777" w:rsidR="003D7AF8" w:rsidRPr="00B42177" w:rsidRDefault="003D7AF8" w:rsidP="000C6F9E">
            <w:pPr>
              <w:spacing w:after="0" w:line="240" w:lineRule="auto"/>
              <w:rPr>
                <w:rFonts w:ascii="Verdana" w:eastAsia="Cambria" w:hAnsi="Verdana" w:cs="Times New Roman"/>
                <w:b/>
                <w:sz w:val="20"/>
                <w:szCs w:val="20"/>
              </w:rPr>
            </w:pPr>
            <w:r w:rsidRPr="00B42177">
              <w:rPr>
                <w:rFonts w:ascii="Verdana" w:eastAsia="Cambria" w:hAnsi="Verdana" w:cs="Times New Roman"/>
                <w:b/>
                <w:sz w:val="20"/>
                <w:szCs w:val="20"/>
              </w:rPr>
              <w:t>OPOMBE</w:t>
            </w:r>
          </w:p>
        </w:tc>
      </w:tr>
      <w:tr w:rsidR="003D7AF8" w:rsidRPr="00B42177" w14:paraId="05FF86E1" w14:textId="77777777" w:rsidTr="000C6F9E">
        <w:tc>
          <w:tcPr>
            <w:tcW w:w="1278" w:type="pct"/>
            <w:shd w:val="clear" w:color="auto" w:fill="FFFFFF"/>
          </w:tcPr>
          <w:p w14:paraId="49CD3E3C" w14:textId="77777777" w:rsidR="003D7AF8" w:rsidRPr="00B42177" w:rsidRDefault="003D7AF8" w:rsidP="000C6F9E">
            <w:pPr>
              <w:spacing w:after="0" w:line="240" w:lineRule="auto"/>
              <w:rPr>
                <w:rFonts w:ascii="Verdana" w:eastAsia="Cambria" w:hAnsi="Verdana" w:cs="Times New Roman"/>
                <w:sz w:val="20"/>
                <w:szCs w:val="20"/>
              </w:rPr>
            </w:pPr>
            <w:r w:rsidRPr="00B42177">
              <w:rPr>
                <w:rFonts w:ascii="Verdana" w:eastAsia="Cambria" w:hAnsi="Verdana" w:cs="Times New Roman"/>
                <w:sz w:val="20"/>
                <w:szCs w:val="20"/>
              </w:rPr>
              <w:t>Akreditacija programov</w:t>
            </w:r>
          </w:p>
        </w:tc>
        <w:tc>
          <w:tcPr>
            <w:tcW w:w="781" w:type="pct"/>
            <w:shd w:val="clear" w:color="auto" w:fill="FFFFFF"/>
          </w:tcPr>
          <w:p w14:paraId="61D96427" w14:textId="77777777" w:rsidR="003D7AF8" w:rsidRPr="00B42177" w:rsidRDefault="003D7AF8" w:rsidP="000C6F9E">
            <w:pPr>
              <w:spacing w:after="0" w:line="240" w:lineRule="auto"/>
              <w:rPr>
                <w:rFonts w:ascii="Verdana" w:eastAsia="Cambria" w:hAnsi="Verdana" w:cs="Times New Roman"/>
                <w:sz w:val="20"/>
                <w:szCs w:val="20"/>
              </w:rPr>
            </w:pPr>
            <w:r w:rsidRPr="00B42177">
              <w:rPr>
                <w:rFonts w:ascii="Verdana" w:eastAsia="Cambria" w:hAnsi="Verdana" w:cs="Times New Roman"/>
                <w:sz w:val="20"/>
                <w:szCs w:val="20"/>
              </w:rPr>
              <w:t>25</w:t>
            </w:r>
          </w:p>
        </w:tc>
        <w:tc>
          <w:tcPr>
            <w:tcW w:w="880" w:type="pct"/>
            <w:shd w:val="clear" w:color="auto" w:fill="FFFFFF"/>
          </w:tcPr>
          <w:p w14:paraId="6BE41CA2" w14:textId="77777777" w:rsidR="003D7AF8" w:rsidRPr="00B42177" w:rsidRDefault="003D7AF8" w:rsidP="000C6F9E">
            <w:pPr>
              <w:spacing w:after="0" w:line="240" w:lineRule="auto"/>
              <w:rPr>
                <w:rFonts w:ascii="Verdana" w:eastAsia="Cambria" w:hAnsi="Verdana" w:cs="Times New Roman"/>
                <w:sz w:val="20"/>
                <w:szCs w:val="20"/>
              </w:rPr>
            </w:pPr>
            <w:r w:rsidRPr="00B42177">
              <w:rPr>
                <w:rFonts w:ascii="Verdana" w:eastAsia="Cambria" w:hAnsi="Verdana" w:cs="Times New Roman"/>
                <w:sz w:val="20"/>
                <w:szCs w:val="20"/>
              </w:rPr>
              <w:t>27</w:t>
            </w:r>
          </w:p>
        </w:tc>
        <w:tc>
          <w:tcPr>
            <w:tcW w:w="1031" w:type="pct"/>
            <w:shd w:val="clear" w:color="auto" w:fill="FFFFFF"/>
          </w:tcPr>
          <w:p w14:paraId="292B6558" w14:textId="77777777" w:rsidR="003D7AF8" w:rsidRPr="00B42177" w:rsidRDefault="003D7AF8" w:rsidP="000C6F9E">
            <w:pPr>
              <w:spacing w:after="0" w:line="240" w:lineRule="auto"/>
              <w:rPr>
                <w:rFonts w:ascii="Verdana" w:eastAsia="Cambria" w:hAnsi="Verdana" w:cs="Times New Roman"/>
                <w:sz w:val="20"/>
                <w:szCs w:val="20"/>
              </w:rPr>
            </w:pPr>
            <w:r w:rsidRPr="00B42177">
              <w:rPr>
                <w:rFonts w:ascii="Verdana" w:eastAsia="Cambria" w:hAnsi="Verdana" w:cs="Times New Roman"/>
                <w:sz w:val="20"/>
                <w:szCs w:val="20"/>
              </w:rPr>
              <w:t>4</w:t>
            </w:r>
          </w:p>
        </w:tc>
        <w:tc>
          <w:tcPr>
            <w:tcW w:w="1030" w:type="pct"/>
            <w:shd w:val="clear" w:color="auto" w:fill="FFFFFF"/>
          </w:tcPr>
          <w:p w14:paraId="00DBA96E" w14:textId="77777777" w:rsidR="003D7AF8" w:rsidRPr="00B42177" w:rsidRDefault="003D7AF8" w:rsidP="000C6F9E">
            <w:pPr>
              <w:spacing w:after="0" w:line="240" w:lineRule="auto"/>
              <w:rPr>
                <w:rFonts w:ascii="Verdana" w:eastAsia="Cambria" w:hAnsi="Verdana" w:cs="Times New Roman"/>
                <w:sz w:val="20"/>
                <w:szCs w:val="20"/>
              </w:rPr>
            </w:pPr>
            <w:r w:rsidRPr="00B42177">
              <w:rPr>
                <w:rFonts w:ascii="Verdana" w:eastAsia="Cambria" w:hAnsi="Verdana" w:cs="Times New Roman"/>
                <w:sz w:val="20"/>
                <w:szCs w:val="20"/>
              </w:rPr>
              <w:t>eNakvis</w:t>
            </w:r>
          </w:p>
        </w:tc>
      </w:tr>
      <w:tr w:rsidR="003D7AF8" w:rsidRPr="00B42177" w14:paraId="14F699F9" w14:textId="77777777" w:rsidTr="000C6F9E">
        <w:tc>
          <w:tcPr>
            <w:tcW w:w="1278" w:type="pct"/>
            <w:shd w:val="clear" w:color="auto" w:fill="FFFFFF"/>
          </w:tcPr>
          <w:p w14:paraId="36E615C5" w14:textId="77777777" w:rsidR="003D7AF8" w:rsidRPr="00B42177" w:rsidRDefault="003D7AF8" w:rsidP="000C6F9E">
            <w:pPr>
              <w:spacing w:after="0" w:line="240" w:lineRule="auto"/>
              <w:rPr>
                <w:rFonts w:ascii="Verdana" w:eastAsia="Cambria" w:hAnsi="Verdana" w:cs="Times New Roman"/>
                <w:sz w:val="20"/>
                <w:szCs w:val="20"/>
              </w:rPr>
            </w:pPr>
            <w:r w:rsidRPr="00B42177">
              <w:rPr>
                <w:rFonts w:ascii="Verdana" w:eastAsia="Cambria" w:hAnsi="Verdana" w:cs="Times New Roman"/>
                <w:sz w:val="20"/>
                <w:szCs w:val="20"/>
              </w:rPr>
              <w:t>Prva akreditacija zavodov</w:t>
            </w:r>
          </w:p>
        </w:tc>
        <w:tc>
          <w:tcPr>
            <w:tcW w:w="781" w:type="pct"/>
            <w:shd w:val="clear" w:color="auto" w:fill="FFFFFF"/>
          </w:tcPr>
          <w:p w14:paraId="33DDF619" w14:textId="77777777" w:rsidR="003D7AF8" w:rsidRPr="00B42177" w:rsidRDefault="003D7AF8" w:rsidP="000C6F9E">
            <w:pPr>
              <w:spacing w:after="0" w:line="240" w:lineRule="auto"/>
              <w:rPr>
                <w:rFonts w:ascii="Verdana" w:eastAsia="Cambria" w:hAnsi="Verdana" w:cs="Times New Roman"/>
                <w:sz w:val="20"/>
                <w:szCs w:val="20"/>
              </w:rPr>
            </w:pPr>
            <w:r w:rsidRPr="00B42177">
              <w:rPr>
                <w:rFonts w:ascii="Verdana" w:eastAsia="Cambria" w:hAnsi="Verdana" w:cs="Times New Roman"/>
                <w:sz w:val="20"/>
                <w:szCs w:val="20"/>
              </w:rPr>
              <w:t>0</w:t>
            </w:r>
          </w:p>
        </w:tc>
        <w:tc>
          <w:tcPr>
            <w:tcW w:w="880" w:type="pct"/>
            <w:shd w:val="clear" w:color="auto" w:fill="FFFFFF"/>
          </w:tcPr>
          <w:p w14:paraId="6536FB44" w14:textId="77777777" w:rsidR="003D7AF8" w:rsidRPr="00B42177" w:rsidRDefault="003D7AF8" w:rsidP="000C6F9E">
            <w:pPr>
              <w:spacing w:after="0" w:line="240" w:lineRule="auto"/>
              <w:rPr>
                <w:rFonts w:ascii="Verdana" w:eastAsia="Cambria" w:hAnsi="Verdana" w:cs="Times New Roman"/>
                <w:sz w:val="20"/>
                <w:szCs w:val="20"/>
              </w:rPr>
            </w:pPr>
            <w:r w:rsidRPr="00B42177">
              <w:rPr>
                <w:rFonts w:ascii="Verdana" w:eastAsia="Cambria" w:hAnsi="Verdana" w:cs="Times New Roman"/>
                <w:sz w:val="20"/>
                <w:szCs w:val="20"/>
              </w:rPr>
              <w:t>0</w:t>
            </w:r>
          </w:p>
        </w:tc>
        <w:tc>
          <w:tcPr>
            <w:tcW w:w="1031" w:type="pct"/>
            <w:shd w:val="clear" w:color="auto" w:fill="FFFFFF"/>
          </w:tcPr>
          <w:p w14:paraId="095245E9" w14:textId="77777777" w:rsidR="003D7AF8" w:rsidRPr="00B42177" w:rsidRDefault="003D7AF8" w:rsidP="000C6F9E">
            <w:pPr>
              <w:spacing w:after="0" w:line="240" w:lineRule="auto"/>
              <w:rPr>
                <w:rFonts w:ascii="Verdana" w:eastAsia="Cambria" w:hAnsi="Verdana" w:cs="Times New Roman"/>
                <w:sz w:val="20"/>
                <w:szCs w:val="20"/>
              </w:rPr>
            </w:pPr>
            <w:r w:rsidRPr="00B42177">
              <w:rPr>
                <w:rFonts w:ascii="Verdana" w:eastAsia="Cambria" w:hAnsi="Verdana" w:cs="Times New Roman"/>
                <w:sz w:val="20"/>
                <w:szCs w:val="20"/>
              </w:rPr>
              <w:t>0</w:t>
            </w:r>
          </w:p>
        </w:tc>
        <w:tc>
          <w:tcPr>
            <w:tcW w:w="1030" w:type="pct"/>
            <w:shd w:val="clear" w:color="auto" w:fill="FFFFFF"/>
          </w:tcPr>
          <w:p w14:paraId="3450A5D5" w14:textId="77777777" w:rsidR="003D7AF8" w:rsidRPr="00B42177" w:rsidRDefault="003D7AF8" w:rsidP="000C6F9E">
            <w:pPr>
              <w:spacing w:after="0" w:line="240" w:lineRule="auto"/>
              <w:rPr>
                <w:rFonts w:ascii="Verdana" w:eastAsia="Cambria" w:hAnsi="Verdana" w:cs="Times New Roman"/>
                <w:sz w:val="20"/>
                <w:szCs w:val="20"/>
              </w:rPr>
            </w:pPr>
          </w:p>
        </w:tc>
      </w:tr>
      <w:tr w:rsidR="003D7AF8" w:rsidRPr="00B42177" w14:paraId="3587193A" w14:textId="77777777" w:rsidTr="000C6F9E">
        <w:tc>
          <w:tcPr>
            <w:tcW w:w="1278" w:type="pct"/>
            <w:tcBorders>
              <w:bottom w:val="single" w:sz="6" w:space="0" w:color="993366"/>
            </w:tcBorders>
          </w:tcPr>
          <w:p w14:paraId="537DA4C5" w14:textId="77777777" w:rsidR="003D7AF8" w:rsidRPr="00B42177" w:rsidRDefault="003D7AF8" w:rsidP="000C6F9E">
            <w:pPr>
              <w:spacing w:after="0" w:line="240" w:lineRule="auto"/>
              <w:rPr>
                <w:rFonts w:ascii="Verdana" w:eastAsia="Cambria" w:hAnsi="Verdana" w:cs="Times New Roman"/>
                <w:sz w:val="20"/>
                <w:szCs w:val="20"/>
              </w:rPr>
            </w:pPr>
            <w:r w:rsidRPr="00B42177">
              <w:rPr>
                <w:rFonts w:ascii="Verdana" w:eastAsia="Cambria" w:hAnsi="Verdana" w:cs="Times New Roman"/>
                <w:sz w:val="20"/>
                <w:szCs w:val="20"/>
              </w:rPr>
              <w:t>Podaljšanje akreditacije zavodov</w:t>
            </w:r>
          </w:p>
        </w:tc>
        <w:tc>
          <w:tcPr>
            <w:tcW w:w="781" w:type="pct"/>
            <w:tcBorders>
              <w:bottom w:val="single" w:sz="6" w:space="0" w:color="993366"/>
            </w:tcBorders>
          </w:tcPr>
          <w:p w14:paraId="16270611" w14:textId="77777777" w:rsidR="003D7AF8" w:rsidRPr="00B42177" w:rsidRDefault="003D7AF8" w:rsidP="000C6F9E">
            <w:pPr>
              <w:spacing w:after="0" w:line="240" w:lineRule="auto"/>
              <w:rPr>
                <w:rFonts w:ascii="Verdana" w:eastAsia="Cambria" w:hAnsi="Verdana" w:cs="Times New Roman"/>
                <w:sz w:val="20"/>
                <w:szCs w:val="20"/>
              </w:rPr>
            </w:pPr>
            <w:r w:rsidRPr="00B42177">
              <w:rPr>
                <w:rFonts w:ascii="Verdana" w:eastAsia="Cambria" w:hAnsi="Verdana" w:cs="Times New Roman"/>
                <w:sz w:val="20"/>
                <w:szCs w:val="20"/>
              </w:rPr>
              <w:t>2</w:t>
            </w:r>
          </w:p>
        </w:tc>
        <w:tc>
          <w:tcPr>
            <w:tcW w:w="880" w:type="pct"/>
            <w:shd w:val="clear" w:color="auto" w:fill="FFFFFF"/>
          </w:tcPr>
          <w:p w14:paraId="72206E40" w14:textId="77777777" w:rsidR="003D7AF8" w:rsidRPr="00B42177" w:rsidRDefault="003D7AF8" w:rsidP="000C6F9E">
            <w:pPr>
              <w:spacing w:after="0" w:line="240" w:lineRule="auto"/>
              <w:rPr>
                <w:rFonts w:ascii="Verdana" w:eastAsia="Cambria" w:hAnsi="Verdana" w:cs="Times New Roman"/>
                <w:sz w:val="20"/>
                <w:szCs w:val="20"/>
              </w:rPr>
            </w:pPr>
            <w:r w:rsidRPr="00B42177">
              <w:rPr>
                <w:rFonts w:ascii="Verdana" w:eastAsia="Cambria" w:hAnsi="Verdana" w:cs="Times New Roman"/>
                <w:sz w:val="20"/>
                <w:szCs w:val="20"/>
              </w:rPr>
              <w:t>2</w:t>
            </w:r>
          </w:p>
        </w:tc>
        <w:tc>
          <w:tcPr>
            <w:tcW w:w="1031" w:type="pct"/>
            <w:shd w:val="clear" w:color="auto" w:fill="FFFFFF"/>
          </w:tcPr>
          <w:p w14:paraId="6132704E" w14:textId="77777777" w:rsidR="003D7AF8" w:rsidRPr="00B42177" w:rsidRDefault="003D7AF8" w:rsidP="000C6F9E">
            <w:pPr>
              <w:spacing w:after="0" w:line="240" w:lineRule="auto"/>
              <w:rPr>
                <w:rFonts w:ascii="Verdana" w:eastAsia="Cambria" w:hAnsi="Verdana" w:cs="Times New Roman"/>
                <w:sz w:val="20"/>
                <w:szCs w:val="20"/>
              </w:rPr>
            </w:pPr>
            <w:r w:rsidRPr="00B42177">
              <w:rPr>
                <w:rFonts w:ascii="Verdana" w:eastAsia="Cambria" w:hAnsi="Verdana" w:cs="Times New Roman"/>
                <w:sz w:val="20"/>
                <w:szCs w:val="20"/>
              </w:rPr>
              <w:t>0</w:t>
            </w:r>
          </w:p>
        </w:tc>
        <w:tc>
          <w:tcPr>
            <w:tcW w:w="1030" w:type="pct"/>
            <w:shd w:val="clear" w:color="auto" w:fill="FFFFFF"/>
          </w:tcPr>
          <w:p w14:paraId="670B3F45" w14:textId="77777777" w:rsidR="003D7AF8" w:rsidRPr="00B42177" w:rsidRDefault="003D7AF8" w:rsidP="000C6F9E">
            <w:pPr>
              <w:spacing w:after="0" w:line="240" w:lineRule="auto"/>
              <w:rPr>
                <w:rFonts w:ascii="Verdana" w:eastAsia="Cambria" w:hAnsi="Verdana" w:cs="Times New Roman"/>
                <w:sz w:val="20"/>
                <w:szCs w:val="20"/>
              </w:rPr>
            </w:pPr>
            <w:r w:rsidRPr="00B42177">
              <w:rPr>
                <w:rFonts w:ascii="Verdana" w:eastAsia="Cambria" w:hAnsi="Verdana" w:cs="Times New Roman"/>
                <w:sz w:val="20"/>
                <w:szCs w:val="20"/>
              </w:rPr>
              <w:t>eNakvis in trajanje postopka po ZViS</w:t>
            </w:r>
          </w:p>
        </w:tc>
      </w:tr>
      <w:tr w:rsidR="003D7AF8" w:rsidRPr="00B42177" w14:paraId="0079C4DF" w14:textId="77777777" w:rsidTr="000C6F9E">
        <w:tc>
          <w:tcPr>
            <w:tcW w:w="1278" w:type="pct"/>
            <w:tcBorders>
              <w:bottom w:val="single" w:sz="6" w:space="0" w:color="993366"/>
            </w:tcBorders>
          </w:tcPr>
          <w:p w14:paraId="1ADF93C6" w14:textId="77777777" w:rsidR="003D7AF8" w:rsidRPr="00B42177" w:rsidRDefault="003D7AF8" w:rsidP="000C6F9E">
            <w:pPr>
              <w:spacing w:after="0" w:line="240" w:lineRule="auto"/>
              <w:rPr>
                <w:rFonts w:ascii="Verdana" w:eastAsia="Cambria" w:hAnsi="Verdana" w:cs="Times New Roman"/>
                <w:sz w:val="20"/>
                <w:szCs w:val="20"/>
              </w:rPr>
            </w:pPr>
            <w:r w:rsidRPr="00B42177">
              <w:rPr>
                <w:rFonts w:ascii="Verdana" w:eastAsia="Cambria" w:hAnsi="Verdana" w:cs="Times New Roman"/>
                <w:sz w:val="20"/>
                <w:szCs w:val="20"/>
              </w:rPr>
              <w:t>Spremembe zavodov</w:t>
            </w:r>
          </w:p>
        </w:tc>
        <w:tc>
          <w:tcPr>
            <w:tcW w:w="781" w:type="pct"/>
            <w:tcBorders>
              <w:bottom w:val="single" w:sz="6" w:space="0" w:color="993366"/>
            </w:tcBorders>
          </w:tcPr>
          <w:p w14:paraId="0E34D445" w14:textId="77777777" w:rsidR="003D7AF8" w:rsidRPr="00B42177" w:rsidRDefault="003D7AF8" w:rsidP="000C6F9E">
            <w:pPr>
              <w:spacing w:after="0" w:line="240" w:lineRule="auto"/>
              <w:rPr>
                <w:rFonts w:ascii="Verdana" w:eastAsia="Cambria" w:hAnsi="Verdana" w:cs="Times New Roman"/>
                <w:sz w:val="20"/>
                <w:szCs w:val="20"/>
              </w:rPr>
            </w:pPr>
            <w:r w:rsidRPr="00B42177">
              <w:rPr>
                <w:rFonts w:ascii="Verdana" w:eastAsia="Cambria" w:hAnsi="Verdana" w:cs="Times New Roman"/>
                <w:sz w:val="20"/>
                <w:szCs w:val="20"/>
              </w:rPr>
              <w:t>7</w:t>
            </w:r>
          </w:p>
        </w:tc>
        <w:tc>
          <w:tcPr>
            <w:tcW w:w="880" w:type="pct"/>
            <w:tcBorders>
              <w:bottom w:val="single" w:sz="6" w:space="0" w:color="993366"/>
            </w:tcBorders>
            <w:shd w:val="clear" w:color="auto" w:fill="FFFFFF"/>
          </w:tcPr>
          <w:p w14:paraId="1BC01D88" w14:textId="77777777" w:rsidR="003D7AF8" w:rsidRPr="00B42177" w:rsidRDefault="003D7AF8" w:rsidP="000C6F9E">
            <w:pPr>
              <w:spacing w:after="0" w:line="240" w:lineRule="auto"/>
              <w:rPr>
                <w:rFonts w:ascii="Verdana" w:eastAsia="Cambria" w:hAnsi="Verdana" w:cs="Times New Roman"/>
                <w:sz w:val="20"/>
                <w:szCs w:val="20"/>
              </w:rPr>
            </w:pPr>
            <w:r w:rsidRPr="00B42177">
              <w:rPr>
                <w:rFonts w:ascii="Verdana" w:eastAsia="Cambria" w:hAnsi="Verdana" w:cs="Times New Roman"/>
                <w:sz w:val="20"/>
                <w:szCs w:val="20"/>
              </w:rPr>
              <w:t>16</w:t>
            </w:r>
          </w:p>
        </w:tc>
        <w:tc>
          <w:tcPr>
            <w:tcW w:w="1031" w:type="pct"/>
            <w:tcBorders>
              <w:bottom w:val="single" w:sz="6" w:space="0" w:color="993366"/>
            </w:tcBorders>
            <w:shd w:val="clear" w:color="auto" w:fill="FFFFFF"/>
          </w:tcPr>
          <w:p w14:paraId="3439A24E" w14:textId="77777777" w:rsidR="003D7AF8" w:rsidRPr="00B42177" w:rsidRDefault="003D7AF8" w:rsidP="000C6F9E">
            <w:pPr>
              <w:spacing w:after="0" w:line="240" w:lineRule="auto"/>
              <w:rPr>
                <w:rFonts w:ascii="Verdana" w:eastAsia="Cambria" w:hAnsi="Verdana" w:cs="Times New Roman"/>
                <w:sz w:val="20"/>
                <w:szCs w:val="20"/>
              </w:rPr>
            </w:pPr>
            <w:r w:rsidRPr="00B42177">
              <w:rPr>
                <w:rFonts w:ascii="Verdana" w:eastAsia="Cambria" w:hAnsi="Verdana" w:cs="Times New Roman"/>
                <w:sz w:val="20"/>
                <w:szCs w:val="20"/>
              </w:rPr>
              <w:t>6</w:t>
            </w:r>
          </w:p>
        </w:tc>
        <w:tc>
          <w:tcPr>
            <w:tcW w:w="1030" w:type="pct"/>
            <w:tcBorders>
              <w:bottom w:val="single" w:sz="6" w:space="0" w:color="993366"/>
            </w:tcBorders>
            <w:shd w:val="clear" w:color="auto" w:fill="FFFFFF"/>
          </w:tcPr>
          <w:p w14:paraId="22145125" w14:textId="77777777" w:rsidR="003D7AF8" w:rsidRPr="00B42177" w:rsidRDefault="003D7AF8" w:rsidP="000C6F9E">
            <w:pPr>
              <w:spacing w:after="0" w:line="240" w:lineRule="auto"/>
              <w:rPr>
                <w:rFonts w:ascii="Verdana" w:eastAsia="Cambria" w:hAnsi="Verdana" w:cs="Times New Roman"/>
                <w:sz w:val="20"/>
                <w:szCs w:val="20"/>
              </w:rPr>
            </w:pPr>
          </w:p>
        </w:tc>
      </w:tr>
      <w:tr w:rsidR="003D7AF8" w:rsidRPr="00B42177" w14:paraId="5635C4FA" w14:textId="77777777" w:rsidTr="000C6F9E">
        <w:tc>
          <w:tcPr>
            <w:tcW w:w="5000" w:type="pct"/>
            <w:gridSpan w:val="5"/>
            <w:shd w:val="clear" w:color="auto" w:fill="D6E3BC"/>
          </w:tcPr>
          <w:p w14:paraId="5A825CFA" w14:textId="77777777" w:rsidR="003D7AF8" w:rsidRPr="00B42177" w:rsidRDefault="003D7AF8" w:rsidP="000C6F9E">
            <w:pPr>
              <w:spacing w:after="0" w:line="240" w:lineRule="auto"/>
              <w:ind w:left="360"/>
              <w:rPr>
                <w:rFonts w:ascii="Verdana" w:eastAsia="Cambria" w:hAnsi="Verdana" w:cs="Times New Roman"/>
                <w:b/>
                <w:sz w:val="20"/>
                <w:szCs w:val="20"/>
              </w:rPr>
            </w:pPr>
            <w:r w:rsidRPr="00B42177">
              <w:rPr>
                <w:rFonts w:ascii="Verdana" w:eastAsia="Cambria" w:hAnsi="Verdana" w:cs="Times New Roman"/>
                <w:b/>
                <w:sz w:val="20"/>
                <w:szCs w:val="20"/>
              </w:rPr>
              <w:t xml:space="preserve">2. evalvacije višjih strokovnih šol </w:t>
            </w:r>
          </w:p>
        </w:tc>
      </w:tr>
      <w:tr w:rsidR="003D7AF8" w:rsidRPr="00B42177" w14:paraId="13461295" w14:textId="77777777" w:rsidTr="000C6F9E">
        <w:tc>
          <w:tcPr>
            <w:tcW w:w="1278" w:type="pct"/>
            <w:shd w:val="clear" w:color="auto" w:fill="B8CCE4"/>
          </w:tcPr>
          <w:p w14:paraId="67D28E2C" w14:textId="77777777" w:rsidR="003D7AF8" w:rsidRPr="00B42177" w:rsidRDefault="003D7AF8" w:rsidP="000C6F9E">
            <w:pPr>
              <w:spacing w:after="0" w:line="240" w:lineRule="auto"/>
              <w:rPr>
                <w:rFonts w:ascii="Verdana" w:eastAsia="Cambria" w:hAnsi="Verdana" w:cs="Times New Roman"/>
                <w:b/>
                <w:sz w:val="20"/>
                <w:szCs w:val="20"/>
              </w:rPr>
            </w:pPr>
            <w:r w:rsidRPr="00B42177">
              <w:rPr>
                <w:rFonts w:ascii="Verdana" w:eastAsia="Cambria" w:hAnsi="Verdana" w:cs="Times New Roman"/>
                <w:b/>
                <w:sz w:val="20"/>
                <w:szCs w:val="20"/>
              </w:rPr>
              <w:t>Naloga</w:t>
            </w:r>
          </w:p>
        </w:tc>
        <w:tc>
          <w:tcPr>
            <w:tcW w:w="781" w:type="pct"/>
            <w:shd w:val="clear" w:color="auto" w:fill="B8CCE4"/>
          </w:tcPr>
          <w:p w14:paraId="13A528A5" w14:textId="77777777" w:rsidR="003D7AF8" w:rsidRPr="00B42177" w:rsidRDefault="003D7AF8" w:rsidP="000C6F9E">
            <w:pPr>
              <w:spacing w:after="0" w:line="240" w:lineRule="auto"/>
              <w:rPr>
                <w:rFonts w:ascii="Verdana" w:eastAsia="Cambria" w:hAnsi="Verdana" w:cs="Times New Roman"/>
                <w:b/>
                <w:sz w:val="20"/>
                <w:szCs w:val="20"/>
              </w:rPr>
            </w:pPr>
            <w:r w:rsidRPr="00B42177">
              <w:rPr>
                <w:rFonts w:ascii="Verdana" w:eastAsia="Cambria" w:hAnsi="Verdana" w:cs="Times New Roman"/>
                <w:b/>
                <w:sz w:val="20"/>
                <w:szCs w:val="20"/>
              </w:rPr>
              <w:t>Načrtovano število vlog</w:t>
            </w:r>
          </w:p>
        </w:tc>
        <w:tc>
          <w:tcPr>
            <w:tcW w:w="880" w:type="pct"/>
            <w:shd w:val="clear" w:color="auto" w:fill="B8CCE4"/>
          </w:tcPr>
          <w:p w14:paraId="421502AE" w14:textId="77777777" w:rsidR="003D7AF8" w:rsidRPr="00B42177" w:rsidRDefault="003D7AF8" w:rsidP="000C6F9E">
            <w:pPr>
              <w:spacing w:after="0" w:line="240" w:lineRule="auto"/>
              <w:rPr>
                <w:rFonts w:ascii="Verdana" w:eastAsia="Cambria" w:hAnsi="Verdana" w:cs="Times New Roman"/>
                <w:b/>
                <w:sz w:val="20"/>
                <w:szCs w:val="20"/>
              </w:rPr>
            </w:pPr>
            <w:r w:rsidRPr="00B42177">
              <w:rPr>
                <w:rFonts w:ascii="Verdana" w:eastAsia="Cambria" w:hAnsi="Verdana" w:cs="Times New Roman"/>
                <w:b/>
                <w:sz w:val="20"/>
                <w:szCs w:val="20"/>
              </w:rPr>
              <w:t xml:space="preserve">Število prejetih vlog  </w:t>
            </w:r>
          </w:p>
        </w:tc>
        <w:tc>
          <w:tcPr>
            <w:tcW w:w="1031" w:type="pct"/>
            <w:shd w:val="clear" w:color="auto" w:fill="B8CCE4"/>
          </w:tcPr>
          <w:p w14:paraId="3B14A4A7" w14:textId="77777777" w:rsidR="003D7AF8" w:rsidRPr="00B42177" w:rsidRDefault="003D7AF8" w:rsidP="000C6F9E">
            <w:pPr>
              <w:spacing w:after="0" w:line="240" w:lineRule="auto"/>
              <w:rPr>
                <w:rFonts w:ascii="Verdana" w:eastAsia="Cambria" w:hAnsi="Verdana" w:cs="Times New Roman"/>
                <w:b/>
                <w:sz w:val="20"/>
                <w:szCs w:val="20"/>
              </w:rPr>
            </w:pPr>
            <w:r w:rsidRPr="00B42177">
              <w:rPr>
                <w:rFonts w:ascii="Verdana" w:eastAsia="Cambria" w:hAnsi="Verdana" w:cs="Times New Roman"/>
                <w:b/>
                <w:sz w:val="20"/>
                <w:szCs w:val="20"/>
              </w:rPr>
              <w:t>Št. mnenj do 31. 12. 201</w:t>
            </w:r>
            <w:r>
              <w:rPr>
                <w:rFonts w:ascii="Verdana" w:eastAsia="Cambria" w:hAnsi="Verdana" w:cs="Times New Roman"/>
                <w:b/>
                <w:sz w:val="20"/>
                <w:szCs w:val="20"/>
              </w:rPr>
              <w:t>8</w:t>
            </w:r>
          </w:p>
        </w:tc>
        <w:tc>
          <w:tcPr>
            <w:tcW w:w="1030" w:type="pct"/>
            <w:shd w:val="clear" w:color="auto" w:fill="B8CCE4"/>
          </w:tcPr>
          <w:p w14:paraId="21FD7389" w14:textId="77777777" w:rsidR="003D7AF8" w:rsidRPr="00B42177" w:rsidRDefault="003D7AF8" w:rsidP="000C6F9E">
            <w:pPr>
              <w:spacing w:after="0" w:line="240" w:lineRule="auto"/>
              <w:rPr>
                <w:rFonts w:ascii="Verdana" w:eastAsia="Cambria" w:hAnsi="Verdana" w:cs="Times New Roman"/>
                <w:b/>
                <w:sz w:val="20"/>
                <w:szCs w:val="20"/>
              </w:rPr>
            </w:pPr>
          </w:p>
        </w:tc>
      </w:tr>
      <w:tr w:rsidR="003D7AF8" w:rsidRPr="00B42177" w14:paraId="4A9A7865" w14:textId="77777777" w:rsidTr="000C6F9E">
        <w:tc>
          <w:tcPr>
            <w:tcW w:w="1278" w:type="pct"/>
            <w:shd w:val="clear" w:color="auto" w:fill="FFFFFF"/>
          </w:tcPr>
          <w:p w14:paraId="0243A05F" w14:textId="77777777" w:rsidR="003D7AF8" w:rsidRPr="00B42177" w:rsidRDefault="003D7AF8" w:rsidP="000C6F9E">
            <w:pPr>
              <w:spacing w:after="0" w:line="240" w:lineRule="auto"/>
              <w:rPr>
                <w:rFonts w:ascii="Verdana" w:eastAsia="Cambria" w:hAnsi="Verdana" w:cs="Times New Roman"/>
                <w:sz w:val="20"/>
                <w:szCs w:val="20"/>
              </w:rPr>
            </w:pPr>
            <w:r w:rsidRPr="00B42177">
              <w:rPr>
                <w:rFonts w:ascii="Verdana" w:eastAsia="Cambria" w:hAnsi="Verdana" w:cs="Times New Roman"/>
                <w:sz w:val="20"/>
                <w:szCs w:val="20"/>
              </w:rPr>
              <w:t>Zunanja evalvacija  šol</w:t>
            </w:r>
          </w:p>
        </w:tc>
        <w:tc>
          <w:tcPr>
            <w:tcW w:w="781" w:type="pct"/>
            <w:shd w:val="clear" w:color="auto" w:fill="FFFFFF"/>
          </w:tcPr>
          <w:p w14:paraId="776BFF80" w14:textId="77777777" w:rsidR="003D7AF8" w:rsidRPr="00B42177" w:rsidRDefault="003D7AF8" w:rsidP="000C6F9E">
            <w:pPr>
              <w:spacing w:after="0" w:line="240" w:lineRule="auto"/>
              <w:rPr>
                <w:rFonts w:ascii="Verdana" w:eastAsia="Cambria" w:hAnsi="Verdana" w:cs="Times New Roman"/>
                <w:sz w:val="20"/>
                <w:szCs w:val="20"/>
              </w:rPr>
            </w:pPr>
            <w:r w:rsidRPr="00B42177">
              <w:rPr>
                <w:rFonts w:ascii="Verdana" w:eastAsia="Cambria" w:hAnsi="Verdana" w:cs="Times New Roman"/>
                <w:sz w:val="20"/>
                <w:szCs w:val="20"/>
              </w:rPr>
              <w:t>12</w:t>
            </w:r>
          </w:p>
        </w:tc>
        <w:tc>
          <w:tcPr>
            <w:tcW w:w="880" w:type="pct"/>
            <w:shd w:val="clear" w:color="auto" w:fill="FFFFFF"/>
          </w:tcPr>
          <w:p w14:paraId="0535CB0A" w14:textId="77777777" w:rsidR="003D7AF8" w:rsidRPr="00B42177" w:rsidRDefault="003D7AF8" w:rsidP="000C6F9E">
            <w:pPr>
              <w:spacing w:after="0" w:line="240" w:lineRule="auto"/>
              <w:rPr>
                <w:rFonts w:ascii="Verdana" w:eastAsia="Cambria" w:hAnsi="Verdana" w:cs="Times New Roman"/>
                <w:sz w:val="20"/>
                <w:szCs w:val="20"/>
              </w:rPr>
            </w:pPr>
            <w:r w:rsidRPr="00B42177">
              <w:rPr>
                <w:rFonts w:ascii="Verdana" w:eastAsia="Cambria" w:hAnsi="Verdana" w:cs="Times New Roman"/>
                <w:sz w:val="20"/>
                <w:szCs w:val="20"/>
              </w:rPr>
              <w:t>12</w:t>
            </w:r>
          </w:p>
        </w:tc>
        <w:tc>
          <w:tcPr>
            <w:tcW w:w="1031" w:type="pct"/>
            <w:shd w:val="clear" w:color="auto" w:fill="FFFFFF"/>
          </w:tcPr>
          <w:p w14:paraId="7BBAFAA6" w14:textId="77777777" w:rsidR="003D7AF8" w:rsidRPr="00B42177" w:rsidRDefault="003D7AF8" w:rsidP="000C6F9E">
            <w:pPr>
              <w:spacing w:after="0" w:line="240" w:lineRule="auto"/>
              <w:jc w:val="both"/>
              <w:rPr>
                <w:rFonts w:ascii="Verdana" w:eastAsia="Cambria" w:hAnsi="Verdana" w:cs="Times New Roman"/>
                <w:sz w:val="20"/>
                <w:szCs w:val="20"/>
              </w:rPr>
            </w:pPr>
            <w:r w:rsidRPr="00B42177">
              <w:rPr>
                <w:rFonts w:ascii="Verdana" w:eastAsia="Cambria" w:hAnsi="Verdana" w:cs="Times New Roman"/>
                <w:sz w:val="20"/>
                <w:szCs w:val="20"/>
              </w:rPr>
              <w:t>0</w:t>
            </w:r>
          </w:p>
        </w:tc>
        <w:tc>
          <w:tcPr>
            <w:tcW w:w="1030" w:type="pct"/>
            <w:shd w:val="clear" w:color="auto" w:fill="FFFFFF"/>
          </w:tcPr>
          <w:p w14:paraId="4F2E9F1A" w14:textId="77777777" w:rsidR="003D7AF8" w:rsidRPr="00B42177" w:rsidRDefault="003D7AF8" w:rsidP="000C6F9E">
            <w:pPr>
              <w:spacing w:after="0" w:line="240" w:lineRule="auto"/>
              <w:jc w:val="both"/>
              <w:rPr>
                <w:rFonts w:ascii="Verdana" w:eastAsia="Cambria" w:hAnsi="Verdana" w:cs="Times New Roman"/>
                <w:sz w:val="20"/>
                <w:szCs w:val="20"/>
              </w:rPr>
            </w:pPr>
          </w:p>
        </w:tc>
      </w:tr>
    </w:tbl>
    <w:p w14:paraId="23098D44" w14:textId="77777777" w:rsidR="003D7AF8" w:rsidRDefault="003D7AF8" w:rsidP="003D7AF8">
      <w:pPr>
        <w:spacing w:after="0" w:line="240" w:lineRule="auto"/>
        <w:jc w:val="both"/>
        <w:rPr>
          <w:rFonts w:ascii="Verdana" w:eastAsia="Cambria" w:hAnsi="Verdana" w:cs="Calibri"/>
          <w:sz w:val="18"/>
          <w:szCs w:val="18"/>
        </w:rPr>
      </w:pPr>
    </w:p>
    <w:p w14:paraId="407D239F" w14:textId="77777777" w:rsidR="003D7AF8" w:rsidRPr="00A74708" w:rsidRDefault="003D7AF8" w:rsidP="003D7AF8">
      <w:pPr>
        <w:spacing w:after="0" w:line="240" w:lineRule="auto"/>
        <w:jc w:val="both"/>
        <w:rPr>
          <w:rFonts w:ascii="Verdana" w:eastAsia="Cambria" w:hAnsi="Verdana" w:cs="Calibri"/>
          <w:i/>
          <w:sz w:val="20"/>
          <w:szCs w:val="20"/>
        </w:rPr>
      </w:pPr>
      <w:r w:rsidRPr="00A74708">
        <w:rPr>
          <w:rFonts w:ascii="Verdana" w:eastAsia="Cambria" w:hAnsi="Verdana" w:cs="Calibri"/>
          <w:i/>
          <w:sz w:val="20"/>
          <w:szCs w:val="20"/>
        </w:rPr>
        <w:t xml:space="preserve">OPOMBA: </w:t>
      </w:r>
    </w:p>
    <w:p w14:paraId="1BCC7443" w14:textId="77777777" w:rsidR="003D7AF8" w:rsidRPr="00A74708" w:rsidRDefault="003D7AF8" w:rsidP="003D7AF8">
      <w:pPr>
        <w:spacing w:after="0" w:line="240" w:lineRule="auto"/>
        <w:jc w:val="both"/>
        <w:rPr>
          <w:rFonts w:ascii="Verdana" w:eastAsia="Cambria" w:hAnsi="Verdana" w:cs="Calibri"/>
          <w:i/>
          <w:sz w:val="20"/>
          <w:szCs w:val="20"/>
        </w:rPr>
      </w:pPr>
      <w:r w:rsidRPr="00A74708">
        <w:rPr>
          <w:rFonts w:ascii="Verdana" w:eastAsia="Cambria" w:hAnsi="Verdana" w:cs="Calibri"/>
          <w:i/>
          <w:sz w:val="20"/>
          <w:szCs w:val="20"/>
        </w:rPr>
        <w:t xml:space="preserve">*O akreditacijah še ni bilo mogoče odločiti, ker so bile vloge praviloma vložene v drugi polovici leta 2018 in ker v skladu z ZViS-K in merili postopki od popolnosti vloge trajajo najmanj od 9 mesecev in pol do 14 mesecev.  </w:t>
      </w:r>
    </w:p>
    <w:p w14:paraId="0D94FE97" w14:textId="77777777" w:rsidR="003D7AF8" w:rsidRPr="00C71939" w:rsidRDefault="003D7AF8" w:rsidP="003D7AF8">
      <w:pPr>
        <w:spacing w:after="0" w:line="240" w:lineRule="auto"/>
        <w:jc w:val="both"/>
        <w:rPr>
          <w:rFonts w:ascii="Verdana" w:eastAsia="Cambria" w:hAnsi="Verdana" w:cs="Calibri"/>
          <w:sz w:val="20"/>
          <w:szCs w:val="20"/>
        </w:rPr>
      </w:pPr>
    </w:p>
    <w:p w14:paraId="27F7AEF0" w14:textId="77777777" w:rsidR="003D7AF8" w:rsidRDefault="003D7AF8" w:rsidP="003D7AF8">
      <w:pPr>
        <w:spacing w:after="0" w:line="240" w:lineRule="auto"/>
        <w:jc w:val="both"/>
        <w:rPr>
          <w:rFonts w:ascii="Verdana" w:eastAsia="Cambria" w:hAnsi="Verdana" w:cs="Calibri"/>
        </w:rPr>
      </w:pPr>
      <w:r w:rsidRPr="00C71939">
        <w:rPr>
          <w:rFonts w:ascii="Verdana" w:eastAsia="Cambria" w:hAnsi="Verdana" w:cs="Calibri"/>
        </w:rPr>
        <w:t>POJASNILO:</w:t>
      </w:r>
    </w:p>
    <w:p w14:paraId="63FEFCFC" w14:textId="77777777" w:rsidR="003D7AF8" w:rsidRDefault="003D7AF8" w:rsidP="003D7AF8">
      <w:pPr>
        <w:spacing w:after="0" w:line="240" w:lineRule="auto"/>
        <w:jc w:val="both"/>
        <w:rPr>
          <w:rFonts w:ascii="Verdana" w:eastAsia="Cambria" w:hAnsi="Verdana" w:cs="Calibri"/>
        </w:rPr>
      </w:pPr>
    </w:p>
    <w:p w14:paraId="483C3A8B" w14:textId="030E769F" w:rsidR="003D7AF8" w:rsidRPr="00E41C0A" w:rsidRDefault="003D7AF8" w:rsidP="003D7AF8">
      <w:pPr>
        <w:spacing w:after="0" w:line="240" w:lineRule="auto"/>
        <w:jc w:val="both"/>
        <w:rPr>
          <w:rFonts w:ascii="Verdana" w:eastAsia="Cambria" w:hAnsi="Verdana" w:cs="Calibri"/>
        </w:rPr>
      </w:pPr>
      <w:r w:rsidRPr="00E41C0A">
        <w:rPr>
          <w:rFonts w:ascii="Verdana" w:eastAsia="Cambria" w:hAnsi="Verdana" w:cs="Calibri"/>
        </w:rPr>
        <w:t>V letu 2018 je agencija predvidela 46 vlog za akreditacije in evalvacije, prejela jih je 57.</w:t>
      </w:r>
      <w:r>
        <w:rPr>
          <w:rFonts w:ascii="Verdana" w:eastAsia="Cambria" w:hAnsi="Verdana" w:cs="Calibri"/>
        </w:rPr>
        <w:t xml:space="preserve"> </w:t>
      </w:r>
    </w:p>
    <w:p w14:paraId="499ECF05" w14:textId="77777777" w:rsidR="003D7AF8" w:rsidRPr="001530DF" w:rsidRDefault="003D7AF8" w:rsidP="003D7AF8">
      <w:pPr>
        <w:spacing w:after="0" w:line="240" w:lineRule="auto"/>
        <w:jc w:val="both"/>
        <w:rPr>
          <w:rFonts w:ascii="Verdana" w:eastAsia="Cambria" w:hAnsi="Verdana" w:cs="Calibri"/>
        </w:rPr>
      </w:pPr>
    </w:p>
    <w:p w14:paraId="6C78DB90" w14:textId="77777777" w:rsidR="003D7AF8" w:rsidRPr="001530DF" w:rsidRDefault="003D7AF8" w:rsidP="003D7AF8">
      <w:pPr>
        <w:spacing w:after="0" w:line="240" w:lineRule="auto"/>
        <w:jc w:val="both"/>
        <w:rPr>
          <w:rFonts w:ascii="Verdana" w:eastAsia="Cambria" w:hAnsi="Verdana" w:cs="Calibri"/>
        </w:rPr>
      </w:pPr>
    </w:p>
    <w:tbl>
      <w:tblPr>
        <w:tblW w:w="4828" w:type="pct"/>
        <w:tblBorders>
          <w:top w:val="single" w:sz="2" w:space="0" w:color="993366"/>
          <w:left w:val="single" w:sz="18" w:space="0" w:color="993366"/>
          <w:bottom w:val="single" w:sz="2" w:space="0" w:color="993366"/>
          <w:right w:val="single" w:sz="18" w:space="0" w:color="993366"/>
          <w:insideH w:val="single" w:sz="6" w:space="0" w:color="993366"/>
          <w:insideV w:val="single" w:sz="6" w:space="0" w:color="993366"/>
        </w:tblBorders>
        <w:tblLook w:val="04A0" w:firstRow="1" w:lastRow="0" w:firstColumn="1" w:lastColumn="0" w:noHBand="0" w:noVBand="1"/>
      </w:tblPr>
      <w:tblGrid>
        <w:gridCol w:w="6710"/>
        <w:gridCol w:w="2909"/>
      </w:tblGrid>
      <w:tr w:rsidR="003D7AF8" w:rsidRPr="00B42177" w14:paraId="079BB00D" w14:textId="77777777" w:rsidTr="000C6F9E">
        <w:tc>
          <w:tcPr>
            <w:tcW w:w="5000" w:type="pct"/>
            <w:gridSpan w:val="2"/>
            <w:tcBorders>
              <w:top w:val="single" w:sz="2" w:space="0" w:color="993366"/>
              <w:left w:val="single" w:sz="18" w:space="0" w:color="993366"/>
              <w:bottom w:val="single" w:sz="6" w:space="0" w:color="993366"/>
              <w:right w:val="single" w:sz="18" w:space="0" w:color="993366"/>
            </w:tcBorders>
            <w:shd w:val="clear" w:color="auto" w:fill="E5B8B7"/>
          </w:tcPr>
          <w:p w14:paraId="738C20F7" w14:textId="77777777" w:rsidR="003D7AF8" w:rsidRDefault="003D7AF8" w:rsidP="000C6F9E">
            <w:pPr>
              <w:spacing w:after="0" w:line="240" w:lineRule="auto"/>
              <w:rPr>
                <w:rFonts w:ascii="Verdana" w:eastAsia="Calibri" w:hAnsi="Verdana" w:cs="Times New Roman"/>
                <w:b/>
                <w:sz w:val="20"/>
                <w:szCs w:val="20"/>
              </w:rPr>
            </w:pPr>
          </w:p>
          <w:p w14:paraId="61D99518" w14:textId="77777777" w:rsidR="003D7AF8" w:rsidRPr="00B42177" w:rsidRDefault="003D7AF8" w:rsidP="000C6F9E">
            <w:pPr>
              <w:spacing w:after="0" w:line="240" w:lineRule="auto"/>
              <w:rPr>
                <w:rFonts w:ascii="Verdana" w:eastAsia="Calibri" w:hAnsi="Verdana" w:cs="Times New Roman"/>
                <w:b/>
                <w:sz w:val="18"/>
                <w:szCs w:val="18"/>
              </w:rPr>
            </w:pPr>
            <w:r w:rsidRPr="00B42177">
              <w:rPr>
                <w:rFonts w:ascii="Verdana" w:eastAsia="Calibri" w:hAnsi="Verdana" w:cs="Times New Roman"/>
                <w:b/>
                <w:sz w:val="18"/>
                <w:szCs w:val="18"/>
              </w:rPr>
              <w:t>Preglednica 3</w:t>
            </w:r>
            <w:r w:rsidRPr="00B42177">
              <w:rPr>
                <w:rFonts w:ascii="Verdana" w:eastAsia="Calibri" w:hAnsi="Verdana" w:cs="Times New Roman"/>
                <w:b/>
                <w:sz w:val="20"/>
                <w:szCs w:val="20"/>
              </w:rPr>
              <w:t xml:space="preserve">: </w:t>
            </w:r>
            <w:r w:rsidRPr="00B42177">
              <w:rPr>
                <w:rFonts w:ascii="Verdana" w:eastAsia="Calibri" w:hAnsi="Verdana" w:cs="Times New Roman"/>
                <w:b/>
              </w:rPr>
              <w:t xml:space="preserve">NEGATIVNE ODLOČITVE SVETA V </w:t>
            </w:r>
            <w:r>
              <w:rPr>
                <w:rFonts w:ascii="Verdana" w:eastAsia="Calibri" w:hAnsi="Verdana" w:cs="Times New Roman"/>
                <w:b/>
              </w:rPr>
              <w:t xml:space="preserve">LETU 2018 </w:t>
            </w:r>
            <w:r w:rsidRPr="00B42177">
              <w:rPr>
                <w:rFonts w:ascii="Verdana" w:eastAsia="Calibri" w:hAnsi="Verdana" w:cs="Times New Roman"/>
                <w:b/>
                <w:sz w:val="18"/>
                <w:szCs w:val="18"/>
              </w:rPr>
              <w:t>(od 1. 1. do 31. 12. 2018</w:t>
            </w:r>
            <w:r>
              <w:rPr>
                <w:rFonts w:ascii="Verdana" w:eastAsia="Calibri" w:hAnsi="Verdana" w:cs="Times New Roman"/>
                <w:b/>
                <w:sz w:val="18"/>
                <w:szCs w:val="18"/>
              </w:rPr>
              <w:t>)</w:t>
            </w:r>
          </w:p>
          <w:p w14:paraId="7339B32D" w14:textId="77777777" w:rsidR="003D7AF8" w:rsidRPr="00B42177" w:rsidRDefault="003D7AF8" w:rsidP="000C6F9E">
            <w:pPr>
              <w:spacing w:after="0" w:line="240" w:lineRule="auto"/>
              <w:rPr>
                <w:rFonts w:ascii="Verdana" w:eastAsia="Calibri" w:hAnsi="Verdana" w:cs="Times New Roman"/>
                <w:b/>
                <w:sz w:val="20"/>
                <w:szCs w:val="20"/>
              </w:rPr>
            </w:pPr>
          </w:p>
        </w:tc>
      </w:tr>
      <w:tr w:rsidR="003D7AF8" w:rsidRPr="00B42177" w14:paraId="543E0AF6" w14:textId="77777777" w:rsidTr="000C6F9E">
        <w:tc>
          <w:tcPr>
            <w:tcW w:w="5000" w:type="pct"/>
            <w:gridSpan w:val="2"/>
            <w:shd w:val="clear" w:color="auto" w:fill="D6E3BC"/>
          </w:tcPr>
          <w:p w14:paraId="7ABD8902" w14:textId="77777777" w:rsidR="003D7AF8" w:rsidRPr="00B42177" w:rsidRDefault="003D7AF8" w:rsidP="000C6F9E">
            <w:pPr>
              <w:spacing w:after="0" w:line="240" w:lineRule="auto"/>
              <w:rPr>
                <w:rFonts w:ascii="Verdana" w:eastAsia="Calibri" w:hAnsi="Verdana" w:cs="Times New Roman"/>
                <w:b/>
                <w:sz w:val="20"/>
                <w:szCs w:val="20"/>
              </w:rPr>
            </w:pPr>
            <w:r w:rsidRPr="00B42177">
              <w:rPr>
                <w:rFonts w:ascii="Verdana" w:eastAsia="Calibri" w:hAnsi="Verdana" w:cs="Times New Roman"/>
                <w:b/>
                <w:sz w:val="20"/>
                <w:szCs w:val="20"/>
              </w:rPr>
              <w:t>Akreditacije v visokem šolstvu</w:t>
            </w:r>
          </w:p>
        </w:tc>
      </w:tr>
      <w:tr w:rsidR="003D7AF8" w:rsidRPr="00B42177" w14:paraId="12633653" w14:textId="77777777" w:rsidTr="000C6F9E">
        <w:tc>
          <w:tcPr>
            <w:tcW w:w="3488" w:type="pct"/>
            <w:shd w:val="clear" w:color="auto" w:fill="B8CCE4"/>
          </w:tcPr>
          <w:p w14:paraId="6B37554F" w14:textId="77777777" w:rsidR="003D7AF8" w:rsidRPr="00B42177" w:rsidRDefault="003D7AF8" w:rsidP="000C6F9E">
            <w:pPr>
              <w:spacing w:after="0" w:line="240" w:lineRule="auto"/>
              <w:rPr>
                <w:rFonts w:ascii="Verdana" w:eastAsia="Calibri" w:hAnsi="Verdana" w:cs="Times New Roman"/>
                <w:b/>
                <w:sz w:val="20"/>
                <w:szCs w:val="20"/>
              </w:rPr>
            </w:pPr>
            <w:r w:rsidRPr="00B42177">
              <w:rPr>
                <w:rFonts w:ascii="Verdana" w:eastAsia="Calibri" w:hAnsi="Verdana" w:cs="Times New Roman"/>
                <w:b/>
                <w:sz w:val="20"/>
                <w:szCs w:val="20"/>
              </w:rPr>
              <w:t>Naloga</w:t>
            </w:r>
          </w:p>
        </w:tc>
        <w:tc>
          <w:tcPr>
            <w:tcW w:w="1512" w:type="pct"/>
            <w:shd w:val="clear" w:color="auto" w:fill="B8CCE4"/>
          </w:tcPr>
          <w:p w14:paraId="44D09EA7" w14:textId="77777777" w:rsidR="003D7AF8" w:rsidRPr="00B42177" w:rsidRDefault="003D7AF8" w:rsidP="000C6F9E">
            <w:pPr>
              <w:spacing w:after="0" w:line="240" w:lineRule="auto"/>
              <w:rPr>
                <w:rFonts w:ascii="Verdana" w:eastAsia="Calibri" w:hAnsi="Verdana" w:cs="Times New Roman"/>
                <w:b/>
                <w:sz w:val="20"/>
                <w:szCs w:val="20"/>
              </w:rPr>
            </w:pPr>
            <w:r w:rsidRPr="00B42177">
              <w:rPr>
                <w:rFonts w:ascii="Verdana" w:eastAsia="Calibri" w:hAnsi="Verdana" w:cs="Times New Roman"/>
                <w:b/>
                <w:sz w:val="20"/>
                <w:szCs w:val="20"/>
              </w:rPr>
              <w:t>Število negativnih  odločitev sveta</w:t>
            </w:r>
            <w:r>
              <w:rPr>
                <w:rFonts w:ascii="Verdana" w:eastAsia="Calibri" w:hAnsi="Verdana" w:cs="Times New Roman"/>
                <w:b/>
                <w:sz w:val="20"/>
                <w:szCs w:val="20"/>
              </w:rPr>
              <w:t>*</w:t>
            </w:r>
          </w:p>
        </w:tc>
      </w:tr>
      <w:tr w:rsidR="003D7AF8" w:rsidRPr="00B42177" w14:paraId="2A698A90" w14:textId="77777777" w:rsidTr="000C6F9E">
        <w:tc>
          <w:tcPr>
            <w:tcW w:w="5000" w:type="pct"/>
            <w:gridSpan w:val="2"/>
            <w:shd w:val="clear" w:color="auto" w:fill="B8CCE4"/>
          </w:tcPr>
          <w:p w14:paraId="0327D6D6" w14:textId="77777777" w:rsidR="003D7AF8" w:rsidRPr="00B42177" w:rsidRDefault="003D7AF8" w:rsidP="000C6F9E">
            <w:pPr>
              <w:spacing w:after="0" w:line="240" w:lineRule="auto"/>
              <w:rPr>
                <w:rFonts w:ascii="Verdana" w:eastAsia="Calibri" w:hAnsi="Verdana" w:cs="Times New Roman"/>
                <w:b/>
                <w:sz w:val="20"/>
                <w:szCs w:val="20"/>
              </w:rPr>
            </w:pPr>
            <w:r w:rsidRPr="00B42177">
              <w:rPr>
                <w:rFonts w:ascii="Verdana" w:eastAsia="Calibri" w:hAnsi="Verdana" w:cs="Times New Roman"/>
                <w:b/>
                <w:sz w:val="20"/>
                <w:szCs w:val="20"/>
              </w:rPr>
              <w:t>Programi</w:t>
            </w:r>
          </w:p>
        </w:tc>
      </w:tr>
      <w:tr w:rsidR="003D7AF8" w:rsidRPr="00B42177" w14:paraId="2691B7DD" w14:textId="77777777" w:rsidTr="000C6F9E">
        <w:tc>
          <w:tcPr>
            <w:tcW w:w="3488" w:type="pct"/>
            <w:shd w:val="clear" w:color="auto" w:fill="FFFFFF"/>
          </w:tcPr>
          <w:p w14:paraId="2DF58058" w14:textId="77777777" w:rsidR="003D7AF8" w:rsidRPr="00B42177" w:rsidRDefault="003D7AF8" w:rsidP="000C6F9E">
            <w:pPr>
              <w:spacing w:after="0" w:line="240" w:lineRule="auto"/>
              <w:rPr>
                <w:rFonts w:ascii="Verdana" w:eastAsia="Calibri" w:hAnsi="Verdana" w:cs="Times New Roman"/>
                <w:sz w:val="20"/>
                <w:szCs w:val="20"/>
              </w:rPr>
            </w:pPr>
            <w:r w:rsidRPr="00B42177">
              <w:rPr>
                <w:rFonts w:ascii="Verdana" w:eastAsia="Calibri" w:hAnsi="Verdana" w:cs="Times New Roman"/>
                <w:sz w:val="20"/>
                <w:szCs w:val="20"/>
              </w:rPr>
              <w:t>Prva akreditacija programov</w:t>
            </w:r>
          </w:p>
        </w:tc>
        <w:tc>
          <w:tcPr>
            <w:tcW w:w="1512" w:type="pct"/>
            <w:shd w:val="clear" w:color="auto" w:fill="FFFFFF"/>
          </w:tcPr>
          <w:p w14:paraId="3E498C22" w14:textId="77777777" w:rsidR="003D7AF8" w:rsidRPr="00B42177" w:rsidRDefault="003D7AF8" w:rsidP="000C6F9E">
            <w:pPr>
              <w:spacing w:after="0" w:line="240" w:lineRule="auto"/>
              <w:rPr>
                <w:rFonts w:ascii="Verdana" w:eastAsia="Calibri" w:hAnsi="Verdana" w:cs="Times New Roman"/>
                <w:sz w:val="20"/>
                <w:szCs w:val="20"/>
              </w:rPr>
            </w:pPr>
            <w:r w:rsidRPr="00B42177">
              <w:rPr>
                <w:rFonts w:ascii="Verdana" w:eastAsia="Calibri" w:hAnsi="Verdana" w:cs="Times New Roman"/>
                <w:sz w:val="20"/>
                <w:szCs w:val="20"/>
              </w:rPr>
              <w:t>2</w:t>
            </w:r>
          </w:p>
        </w:tc>
      </w:tr>
      <w:tr w:rsidR="003D7AF8" w:rsidRPr="00B42177" w14:paraId="67AA2E21" w14:textId="77777777" w:rsidTr="000C6F9E">
        <w:tc>
          <w:tcPr>
            <w:tcW w:w="3488" w:type="pct"/>
            <w:shd w:val="clear" w:color="auto" w:fill="FFFFFF"/>
          </w:tcPr>
          <w:p w14:paraId="3F476603" w14:textId="77777777" w:rsidR="003D7AF8" w:rsidRPr="00B42177" w:rsidRDefault="003D7AF8" w:rsidP="000C6F9E">
            <w:pPr>
              <w:spacing w:after="0" w:line="240" w:lineRule="auto"/>
              <w:rPr>
                <w:rFonts w:ascii="Verdana" w:eastAsia="Calibri" w:hAnsi="Verdana" w:cs="Times New Roman"/>
                <w:sz w:val="20"/>
                <w:szCs w:val="20"/>
              </w:rPr>
            </w:pPr>
            <w:r w:rsidRPr="00B42177">
              <w:rPr>
                <w:rFonts w:ascii="Verdana" w:eastAsia="Calibri" w:hAnsi="Verdana" w:cs="Times New Roman"/>
                <w:sz w:val="20"/>
                <w:szCs w:val="20"/>
              </w:rPr>
              <w:t>Podaljšanje akreditacije programov po starih merilih</w:t>
            </w:r>
          </w:p>
        </w:tc>
        <w:tc>
          <w:tcPr>
            <w:tcW w:w="1512" w:type="pct"/>
            <w:shd w:val="clear" w:color="auto" w:fill="FFFFFF"/>
          </w:tcPr>
          <w:p w14:paraId="31215AEE" w14:textId="77777777" w:rsidR="003D7AF8" w:rsidRPr="00B42177" w:rsidRDefault="003D7AF8" w:rsidP="000C6F9E">
            <w:pPr>
              <w:spacing w:after="0" w:line="240" w:lineRule="auto"/>
              <w:rPr>
                <w:rFonts w:ascii="Verdana" w:eastAsia="Calibri" w:hAnsi="Verdana" w:cs="Times New Roman"/>
                <w:sz w:val="20"/>
                <w:szCs w:val="20"/>
              </w:rPr>
            </w:pPr>
            <w:r w:rsidRPr="00B42177">
              <w:rPr>
                <w:rFonts w:ascii="Verdana" w:eastAsia="Calibri" w:hAnsi="Verdana" w:cs="Times New Roman"/>
                <w:sz w:val="20"/>
                <w:szCs w:val="20"/>
              </w:rPr>
              <w:t>1</w:t>
            </w:r>
          </w:p>
        </w:tc>
      </w:tr>
      <w:tr w:rsidR="003D7AF8" w:rsidRPr="00B42177" w14:paraId="4CE54D01" w14:textId="77777777" w:rsidTr="000C6F9E">
        <w:tc>
          <w:tcPr>
            <w:tcW w:w="3488" w:type="pct"/>
            <w:tcBorders>
              <w:top w:val="single" w:sz="6" w:space="0" w:color="993366"/>
              <w:left w:val="single" w:sz="18" w:space="0" w:color="993366"/>
              <w:bottom w:val="single" w:sz="2" w:space="0" w:color="993366"/>
            </w:tcBorders>
            <w:shd w:val="clear" w:color="auto" w:fill="FFFFFF"/>
          </w:tcPr>
          <w:p w14:paraId="06B8A7BF" w14:textId="77777777" w:rsidR="003D7AF8" w:rsidRPr="00B42177" w:rsidRDefault="003D7AF8" w:rsidP="000C6F9E">
            <w:pPr>
              <w:spacing w:after="0" w:line="240" w:lineRule="auto"/>
              <w:rPr>
                <w:rFonts w:ascii="Verdana" w:eastAsia="Calibri" w:hAnsi="Verdana" w:cs="Times New Roman"/>
                <w:sz w:val="20"/>
                <w:szCs w:val="20"/>
              </w:rPr>
            </w:pPr>
            <w:r w:rsidRPr="00B42177">
              <w:rPr>
                <w:rFonts w:ascii="Verdana" w:eastAsia="Calibri" w:hAnsi="Verdana" w:cs="Times New Roman"/>
                <w:sz w:val="20"/>
                <w:szCs w:val="20"/>
              </w:rPr>
              <w:t xml:space="preserve">SKUPAJ </w:t>
            </w:r>
          </w:p>
        </w:tc>
        <w:tc>
          <w:tcPr>
            <w:tcW w:w="1512" w:type="pct"/>
            <w:tcBorders>
              <w:top w:val="single" w:sz="6" w:space="0" w:color="993366"/>
              <w:left w:val="single" w:sz="6" w:space="0" w:color="993366"/>
              <w:bottom w:val="single" w:sz="2" w:space="0" w:color="993366"/>
              <w:right w:val="single" w:sz="18" w:space="0" w:color="993366"/>
            </w:tcBorders>
            <w:shd w:val="clear" w:color="auto" w:fill="FFFFFF"/>
          </w:tcPr>
          <w:p w14:paraId="7507F23F" w14:textId="77777777" w:rsidR="003D7AF8" w:rsidRPr="00B42177" w:rsidRDefault="003D7AF8" w:rsidP="000C6F9E">
            <w:pPr>
              <w:spacing w:after="0" w:line="240" w:lineRule="auto"/>
              <w:rPr>
                <w:rFonts w:ascii="Verdana" w:eastAsia="Calibri" w:hAnsi="Verdana" w:cs="Times New Roman"/>
                <w:b/>
                <w:sz w:val="20"/>
                <w:szCs w:val="20"/>
              </w:rPr>
            </w:pPr>
            <w:r w:rsidRPr="00B42177">
              <w:rPr>
                <w:rFonts w:ascii="Verdana" w:eastAsia="Calibri" w:hAnsi="Verdana" w:cs="Times New Roman"/>
                <w:b/>
                <w:sz w:val="20"/>
                <w:szCs w:val="20"/>
              </w:rPr>
              <w:t>3</w:t>
            </w:r>
          </w:p>
        </w:tc>
      </w:tr>
      <w:tr w:rsidR="003D7AF8" w:rsidRPr="00B42177" w14:paraId="779F295B" w14:textId="77777777" w:rsidTr="000C6F9E">
        <w:tc>
          <w:tcPr>
            <w:tcW w:w="5000" w:type="pct"/>
            <w:gridSpan w:val="2"/>
            <w:shd w:val="clear" w:color="auto" w:fill="B8CCE4"/>
          </w:tcPr>
          <w:p w14:paraId="13C7EB6B" w14:textId="77777777" w:rsidR="003D7AF8" w:rsidRPr="00B42177" w:rsidRDefault="003D7AF8" w:rsidP="000C6F9E">
            <w:pPr>
              <w:spacing w:after="0" w:line="240" w:lineRule="auto"/>
              <w:rPr>
                <w:rFonts w:ascii="Verdana" w:eastAsia="Calibri" w:hAnsi="Verdana" w:cs="Times New Roman"/>
                <w:b/>
                <w:sz w:val="20"/>
                <w:szCs w:val="20"/>
              </w:rPr>
            </w:pPr>
            <w:r w:rsidRPr="00B42177">
              <w:rPr>
                <w:rFonts w:ascii="Verdana" w:eastAsia="Calibri" w:hAnsi="Verdana" w:cs="Times New Roman"/>
                <w:b/>
                <w:sz w:val="20"/>
                <w:szCs w:val="20"/>
              </w:rPr>
              <w:t>Zavodi</w:t>
            </w:r>
          </w:p>
        </w:tc>
      </w:tr>
      <w:tr w:rsidR="003D7AF8" w:rsidRPr="00B42177" w14:paraId="18C2C221" w14:textId="77777777" w:rsidTr="000C6F9E">
        <w:tc>
          <w:tcPr>
            <w:tcW w:w="3488" w:type="pct"/>
            <w:tcBorders>
              <w:top w:val="single" w:sz="6" w:space="0" w:color="993366"/>
              <w:left w:val="single" w:sz="18" w:space="0" w:color="993366"/>
              <w:bottom w:val="single" w:sz="6" w:space="0" w:color="993366"/>
            </w:tcBorders>
            <w:shd w:val="clear" w:color="auto" w:fill="FFFFFF"/>
          </w:tcPr>
          <w:p w14:paraId="30027ED2" w14:textId="77777777" w:rsidR="003D7AF8" w:rsidRPr="00B42177" w:rsidRDefault="003D7AF8" w:rsidP="000C6F9E">
            <w:pPr>
              <w:spacing w:after="0" w:line="240" w:lineRule="auto"/>
              <w:rPr>
                <w:rFonts w:ascii="Verdana" w:eastAsia="Calibri" w:hAnsi="Verdana" w:cs="Times New Roman"/>
                <w:sz w:val="20"/>
                <w:szCs w:val="20"/>
              </w:rPr>
            </w:pPr>
            <w:r w:rsidRPr="00B42177">
              <w:rPr>
                <w:rFonts w:ascii="Verdana" w:eastAsia="Calibri" w:hAnsi="Verdana" w:cs="Times New Roman"/>
                <w:sz w:val="20"/>
                <w:szCs w:val="20"/>
              </w:rPr>
              <w:t>Prva akreditacija zavodov</w:t>
            </w:r>
          </w:p>
        </w:tc>
        <w:tc>
          <w:tcPr>
            <w:tcW w:w="1512" w:type="pct"/>
            <w:tcBorders>
              <w:top w:val="single" w:sz="6" w:space="0" w:color="993366"/>
              <w:left w:val="single" w:sz="6" w:space="0" w:color="993366"/>
              <w:bottom w:val="single" w:sz="6" w:space="0" w:color="993366"/>
              <w:right w:val="single" w:sz="18" w:space="0" w:color="993366"/>
            </w:tcBorders>
            <w:shd w:val="clear" w:color="auto" w:fill="FFFFFF"/>
          </w:tcPr>
          <w:p w14:paraId="6AC81461" w14:textId="77777777" w:rsidR="003D7AF8" w:rsidRPr="00B42177" w:rsidRDefault="003D7AF8" w:rsidP="000C6F9E">
            <w:pPr>
              <w:spacing w:after="0" w:line="240" w:lineRule="auto"/>
              <w:rPr>
                <w:rFonts w:ascii="Verdana" w:eastAsia="Calibri" w:hAnsi="Verdana" w:cs="Times New Roman"/>
                <w:sz w:val="20"/>
                <w:szCs w:val="20"/>
              </w:rPr>
            </w:pPr>
            <w:r w:rsidRPr="00B42177">
              <w:rPr>
                <w:rFonts w:ascii="Verdana" w:eastAsia="Calibri" w:hAnsi="Verdana" w:cs="Times New Roman"/>
                <w:sz w:val="20"/>
                <w:szCs w:val="20"/>
              </w:rPr>
              <w:t>1</w:t>
            </w:r>
          </w:p>
        </w:tc>
      </w:tr>
      <w:tr w:rsidR="003D7AF8" w:rsidRPr="00B42177" w14:paraId="309B3831" w14:textId="77777777" w:rsidTr="000C6F9E">
        <w:tc>
          <w:tcPr>
            <w:tcW w:w="3488" w:type="pct"/>
            <w:tcBorders>
              <w:top w:val="single" w:sz="6" w:space="0" w:color="993366"/>
              <w:left w:val="single" w:sz="18" w:space="0" w:color="993366"/>
              <w:bottom w:val="single" w:sz="6" w:space="0" w:color="993366"/>
            </w:tcBorders>
            <w:shd w:val="clear" w:color="auto" w:fill="FFFFFF"/>
          </w:tcPr>
          <w:p w14:paraId="029E2D41" w14:textId="77777777" w:rsidR="003D7AF8" w:rsidRPr="00B42177" w:rsidRDefault="003D7AF8" w:rsidP="000C6F9E">
            <w:pPr>
              <w:spacing w:after="0" w:line="240" w:lineRule="auto"/>
              <w:rPr>
                <w:rFonts w:ascii="Verdana" w:eastAsia="Calibri" w:hAnsi="Verdana" w:cs="Times New Roman"/>
                <w:sz w:val="20"/>
                <w:szCs w:val="20"/>
              </w:rPr>
            </w:pPr>
            <w:r w:rsidRPr="00B42177">
              <w:rPr>
                <w:rFonts w:ascii="Verdana" w:eastAsia="Calibri" w:hAnsi="Verdana" w:cs="Times New Roman"/>
                <w:sz w:val="20"/>
                <w:szCs w:val="20"/>
              </w:rPr>
              <w:t>Podaljšanje akreditacije zavodov</w:t>
            </w:r>
          </w:p>
        </w:tc>
        <w:tc>
          <w:tcPr>
            <w:tcW w:w="1512" w:type="pct"/>
            <w:tcBorders>
              <w:top w:val="single" w:sz="6" w:space="0" w:color="993366"/>
              <w:left w:val="single" w:sz="6" w:space="0" w:color="993366"/>
              <w:bottom w:val="single" w:sz="6" w:space="0" w:color="993366"/>
              <w:right w:val="single" w:sz="18" w:space="0" w:color="993366"/>
            </w:tcBorders>
            <w:shd w:val="clear" w:color="auto" w:fill="FFFFFF"/>
          </w:tcPr>
          <w:p w14:paraId="093AD21C" w14:textId="77777777" w:rsidR="003D7AF8" w:rsidRPr="00B42177" w:rsidRDefault="003D7AF8" w:rsidP="000C6F9E">
            <w:pPr>
              <w:spacing w:after="0" w:line="240" w:lineRule="auto"/>
              <w:rPr>
                <w:rFonts w:ascii="Verdana" w:eastAsia="Calibri" w:hAnsi="Verdana" w:cs="Times New Roman"/>
                <w:sz w:val="20"/>
                <w:szCs w:val="20"/>
              </w:rPr>
            </w:pPr>
            <w:r w:rsidRPr="00B42177">
              <w:rPr>
                <w:rFonts w:ascii="Verdana" w:eastAsia="Calibri" w:hAnsi="Verdana" w:cs="Times New Roman"/>
                <w:sz w:val="20"/>
                <w:szCs w:val="20"/>
              </w:rPr>
              <w:t>0</w:t>
            </w:r>
          </w:p>
        </w:tc>
      </w:tr>
      <w:tr w:rsidR="003D7AF8" w:rsidRPr="00B42177" w14:paraId="3CE51C2D" w14:textId="77777777" w:rsidTr="000C6F9E">
        <w:tc>
          <w:tcPr>
            <w:tcW w:w="3488" w:type="pct"/>
            <w:tcBorders>
              <w:top w:val="single" w:sz="6" w:space="0" w:color="993366"/>
              <w:left w:val="single" w:sz="18" w:space="0" w:color="993366"/>
              <w:bottom w:val="single" w:sz="6" w:space="0" w:color="993366"/>
            </w:tcBorders>
            <w:shd w:val="clear" w:color="auto" w:fill="FFFFFF"/>
          </w:tcPr>
          <w:p w14:paraId="4DC78D3A" w14:textId="77777777" w:rsidR="003D7AF8" w:rsidRPr="00B42177" w:rsidRDefault="003D7AF8" w:rsidP="000C6F9E">
            <w:pPr>
              <w:spacing w:after="0" w:line="240" w:lineRule="auto"/>
              <w:rPr>
                <w:rFonts w:ascii="Verdana" w:eastAsia="Calibri" w:hAnsi="Verdana" w:cs="Times New Roman"/>
                <w:sz w:val="20"/>
                <w:szCs w:val="20"/>
              </w:rPr>
            </w:pPr>
            <w:r w:rsidRPr="00B42177">
              <w:rPr>
                <w:rFonts w:ascii="Verdana" w:eastAsia="Calibri" w:hAnsi="Verdana" w:cs="Times New Roman"/>
                <w:sz w:val="20"/>
                <w:szCs w:val="20"/>
              </w:rPr>
              <w:t>Spremembe zavodov</w:t>
            </w:r>
          </w:p>
        </w:tc>
        <w:tc>
          <w:tcPr>
            <w:tcW w:w="1512" w:type="pct"/>
            <w:tcBorders>
              <w:top w:val="single" w:sz="6" w:space="0" w:color="993366"/>
              <w:left w:val="single" w:sz="6" w:space="0" w:color="993366"/>
              <w:bottom w:val="single" w:sz="6" w:space="0" w:color="993366"/>
              <w:right w:val="single" w:sz="18" w:space="0" w:color="993366"/>
            </w:tcBorders>
            <w:shd w:val="clear" w:color="auto" w:fill="FFFFFF"/>
          </w:tcPr>
          <w:p w14:paraId="7B81C811" w14:textId="77777777" w:rsidR="003D7AF8" w:rsidRPr="00B42177" w:rsidRDefault="003D7AF8" w:rsidP="000C6F9E">
            <w:pPr>
              <w:spacing w:after="0" w:line="240" w:lineRule="auto"/>
              <w:rPr>
                <w:rFonts w:ascii="Verdana" w:eastAsia="Calibri" w:hAnsi="Verdana" w:cs="Times New Roman"/>
                <w:sz w:val="20"/>
                <w:szCs w:val="20"/>
              </w:rPr>
            </w:pPr>
            <w:r w:rsidRPr="00B42177">
              <w:rPr>
                <w:rFonts w:ascii="Verdana" w:eastAsia="Calibri" w:hAnsi="Verdana" w:cs="Times New Roman"/>
                <w:sz w:val="20"/>
                <w:szCs w:val="20"/>
              </w:rPr>
              <w:t>0</w:t>
            </w:r>
          </w:p>
        </w:tc>
      </w:tr>
      <w:tr w:rsidR="003D7AF8" w:rsidRPr="00B42177" w14:paraId="263CD801" w14:textId="77777777" w:rsidTr="000C6F9E">
        <w:tc>
          <w:tcPr>
            <w:tcW w:w="3488" w:type="pct"/>
            <w:tcBorders>
              <w:top w:val="single" w:sz="6" w:space="0" w:color="993366"/>
              <w:left w:val="single" w:sz="18" w:space="0" w:color="993366"/>
              <w:bottom w:val="single" w:sz="2" w:space="0" w:color="993366"/>
            </w:tcBorders>
            <w:shd w:val="clear" w:color="auto" w:fill="FFFFFF"/>
          </w:tcPr>
          <w:p w14:paraId="3C76C8AF" w14:textId="77777777" w:rsidR="003D7AF8" w:rsidRPr="00B42177" w:rsidRDefault="003D7AF8" w:rsidP="000C6F9E">
            <w:pPr>
              <w:spacing w:after="0" w:line="240" w:lineRule="auto"/>
              <w:rPr>
                <w:rFonts w:ascii="Verdana" w:eastAsia="Calibri" w:hAnsi="Verdana" w:cs="Times New Roman"/>
                <w:sz w:val="20"/>
                <w:szCs w:val="20"/>
              </w:rPr>
            </w:pPr>
            <w:r w:rsidRPr="00B42177">
              <w:rPr>
                <w:rFonts w:ascii="Verdana" w:eastAsia="Calibri" w:hAnsi="Verdana" w:cs="Times New Roman"/>
                <w:sz w:val="20"/>
                <w:szCs w:val="20"/>
              </w:rPr>
              <w:t xml:space="preserve">SKUPAJ </w:t>
            </w:r>
          </w:p>
        </w:tc>
        <w:tc>
          <w:tcPr>
            <w:tcW w:w="1512" w:type="pct"/>
            <w:tcBorders>
              <w:top w:val="single" w:sz="6" w:space="0" w:color="993366"/>
              <w:left w:val="single" w:sz="6" w:space="0" w:color="993366"/>
              <w:bottom w:val="single" w:sz="2" w:space="0" w:color="993366"/>
              <w:right w:val="single" w:sz="18" w:space="0" w:color="993366"/>
            </w:tcBorders>
            <w:shd w:val="clear" w:color="auto" w:fill="FFFFFF"/>
          </w:tcPr>
          <w:p w14:paraId="33FDAF5A" w14:textId="77777777" w:rsidR="003D7AF8" w:rsidRPr="00B42177" w:rsidRDefault="003D7AF8" w:rsidP="000C6F9E">
            <w:pPr>
              <w:spacing w:after="0" w:line="240" w:lineRule="auto"/>
              <w:rPr>
                <w:rFonts w:ascii="Verdana" w:eastAsia="Calibri" w:hAnsi="Verdana" w:cs="Times New Roman"/>
                <w:b/>
                <w:sz w:val="20"/>
                <w:szCs w:val="20"/>
              </w:rPr>
            </w:pPr>
            <w:r w:rsidRPr="00B42177">
              <w:rPr>
                <w:rFonts w:ascii="Verdana" w:eastAsia="Calibri" w:hAnsi="Verdana" w:cs="Times New Roman"/>
                <w:b/>
                <w:sz w:val="20"/>
                <w:szCs w:val="20"/>
              </w:rPr>
              <w:t>1</w:t>
            </w:r>
          </w:p>
        </w:tc>
      </w:tr>
    </w:tbl>
    <w:p w14:paraId="07375CB5" w14:textId="77777777" w:rsidR="003D7AF8" w:rsidRDefault="003D7AF8" w:rsidP="003D7AF8">
      <w:pPr>
        <w:spacing w:after="0" w:line="240" w:lineRule="auto"/>
        <w:jc w:val="both"/>
        <w:rPr>
          <w:rFonts w:ascii="Verdana" w:eastAsia="Cambria" w:hAnsi="Verdana" w:cs="Calibri"/>
        </w:rPr>
      </w:pPr>
    </w:p>
    <w:p w14:paraId="71EC4406" w14:textId="77777777" w:rsidR="003D7AF8" w:rsidRPr="00740026" w:rsidRDefault="003D7AF8" w:rsidP="003D7AF8">
      <w:pPr>
        <w:spacing w:after="0" w:line="240" w:lineRule="auto"/>
        <w:jc w:val="both"/>
        <w:rPr>
          <w:rFonts w:ascii="Verdana" w:eastAsia="Cambria" w:hAnsi="Verdana" w:cs="Calibri"/>
          <w:i/>
          <w:sz w:val="20"/>
          <w:szCs w:val="20"/>
        </w:rPr>
      </w:pPr>
      <w:r w:rsidRPr="00740026">
        <w:rPr>
          <w:rFonts w:ascii="Verdana" w:eastAsia="Cambria" w:hAnsi="Verdana" w:cs="Calibri"/>
          <w:i/>
          <w:sz w:val="20"/>
          <w:szCs w:val="20"/>
        </w:rPr>
        <w:lastRenderedPageBreak/>
        <w:t>OPOMBA:</w:t>
      </w:r>
    </w:p>
    <w:p w14:paraId="0FFA83D5" w14:textId="77777777" w:rsidR="003D7AF8" w:rsidRPr="00740026" w:rsidRDefault="003D7AF8" w:rsidP="003D7AF8">
      <w:pPr>
        <w:spacing w:after="0" w:line="240" w:lineRule="auto"/>
        <w:jc w:val="both"/>
        <w:rPr>
          <w:rFonts w:ascii="Verdana" w:eastAsia="Cambria" w:hAnsi="Verdana" w:cs="Calibri"/>
          <w:i/>
          <w:sz w:val="20"/>
          <w:szCs w:val="20"/>
        </w:rPr>
      </w:pPr>
      <w:r w:rsidRPr="00740026">
        <w:rPr>
          <w:rFonts w:ascii="Verdana" w:eastAsia="Cambria" w:hAnsi="Verdana" w:cs="Calibri"/>
          <w:i/>
          <w:sz w:val="20"/>
          <w:szCs w:val="20"/>
        </w:rPr>
        <w:t>*Dve zadevi sta še v pritožbenem postopku.</w:t>
      </w:r>
    </w:p>
    <w:p w14:paraId="18A03A5A" w14:textId="77777777" w:rsidR="003D7AF8" w:rsidRDefault="003D7AF8" w:rsidP="003D7AF8">
      <w:pPr>
        <w:spacing w:after="0" w:line="240" w:lineRule="auto"/>
        <w:jc w:val="both"/>
        <w:rPr>
          <w:rFonts w:ascii="Verdana" w:eastAsia="Cambria" w:hAnsi="Verdana" w:cs="Calibri"/>
        </w:rPr>
      </w:pPr>
    </w:p>
    <w:p w14:paraId="55EB5C78" w14:textId="77777777" w:rsidR="003D7AF8" w:rsidRPr="00C71939" w:rsidRDefault="003D7AF8" w:rsidP="003D7AF8">
      <w:pPr>
        <w:spacing w:after="0" w:line="240" w:lineRule="auto"/>
        <w:jc w:val="both"/>
        <w:rPr>
          <w:rFonts w:ascii="Verdana" w:eastAsia="Cambria" w:hAnsi="Verdana" w:cs="Calibri"/>
        </w:rPr>
      </w:pPr>
      <w:r w:rsidRPr="00C71939">
        <w:rPr>
          <w:rFonts w:ascii="Verdana" w:eastAsia="Cambria" w:hAnsi="Verdana" w:cs="Calibri"/>
        </w:rPr>
        <w:t>POJASNILO:</w:t>
      </w:r>
    </w:p>
    <w:p w14:paraId="41475643" w14:textId="77777777" w:rsidR="003D7AF8" w:rsidRDefault="003D7AF8" w:rsidP="003D7AF8">
      <w:pPr>
        <w:spacing w:after="0" w:line="240" w:lineRule="auto"/>
        <w:jc w:val="both"/>
        <w:rPr>
          <w:rFonts w:ascii="Verdana" w:eastAsia="Cambria" w:hAnsi="Verdana" w:cs="Calibri"/>
        </w:rPr>
      </w:pPr>
    </w:p>
    <w:p w14:paraId="68C52D0B" w14:textId="7FCC931E" w:rsidR="003D7AF8" w:rsidRPr="001530DF" w:rsidRDefault="003D7AF8" w:rsidP="003D7AF8">
      <w:pPr>
        <w:spacing w:after="0" w:line="240" w:lineRule="auto"/>
        <w:jc w:val="both"/>
        <w:rPr>
          <w:rFonts w:ascii="Verdana" w:eastAsia="Cambria" w:hAnsi="Verdana" w:cs="Calibri"/>
          <w:u w:val="single"/>
        </w:rPr>
      </w:pPr>
      <w:r>
        <w:rPr>
          <w:rFonts w:ascii="Verdana" w:eastAsia="Cambria" w:hAnsi="Verdana" w:cs="Calibri"/>
        </w:rPr>
        <w:t>S</w:t>
      </w:r>
      <w:r w:rsidRPr="001530DF">
        <w:rPr>
          <w:rFonts w:ascii="Verdana" w:eastAsia="Cambria" w:hAnsi="Verdana" w:cs="Calibri"/>
        </w:rPr>
        <w:t xml:space="preserve">vet agencije ni podelil akreditacije </w:t>
      </w:r>
      <w:r>
        <w:rPr>
          <w:rFonts w:ascii="Verdana" w:eastAsia="Cambria" w:hAnsi="Verdana" w:cs="Calibri"/>
        </w:rPr>
        <w:t xml:space="preserve">dvema </w:t>
      </w:r>
      <w:r w:rsidRPr="001530DF">
        <w:rPr>
          <w:rFonts w:ascii="Verdana" w:eastAsia="Cambria" w:hAnsi="Verdana" w:cs="Calibri"/>
        </w:rPr>
        <w:t>programom</w:t>
      </w:r>
      <w:r>
        <w:rPr>
          <w:rFonts w:ascii="Verdana" w:eastAsia="Cambria" w:hAnsi="Verdana" w:cs="Calibri"/>
        </w:rPr>
        <w:t>a, ni podaljšal akreditacije enemu  programu</w:t>
      </w:r>
      <w:r w:rsidRPr="001530DF">
        <w:rPr>
          <w:rFonts w:ascii="Verdana" w:eastAsia="Cambria" w:hAnsi="Verdana" w:cs="Calibri"/>
        </w:rPr>
        <w:t xml:space="preserve"> in </w:t>
      </w:r>
      <w:r>
        <w:rPr>
          <w:rFonts w:ascii="Verdana" w:eastAsia="Cambria" w:hAnsi="Verdana" w:cs="Calibri"/>
        </w:rPr>
        <w:t>enemu</w:t>
      </w:r>
      <w:r w:rsidRPr="001530DF">
        <w:rPr>
          <w:rFonts w:ascii="Verdana" w:eastAsia="Cambria" w:hAnsi="Verdana" w:cs="Calibri"/>
        </w:rPr>
        <w:t xml:space="preserve"> zavod</w:t>
      </w:r>
      <w:r>
        <w:rPr>
          <w:rFonts w:ascii="Verdana" w:eastAsia="Cambria" w:hAnsi="Verdana" w:cs="Calibri"/>
        </w:rPr>
        <w:t>u</w:t>
      </w:r>
      <w:r w:rsidRPr="001530DF">
        <w:rPr>
          <w:rFonts w:ascii="Verdana" w:eastAsia="Cambria" w:hAnsi="Verdana" w:cs="Calibri"/>
        </w:rPr>
        <w:t xml:space="preserve">, ker za to niso bili izpolnjeni z ZViS določeni pogoji in merila za akreditacijo. Skupaj gre za </w:t>
      </w:r>
      <w:r>
        <w:rPr>
          <w:rFonts w:ascii="Verdana" w:eastAsia="Cambria" w:hAnsi="Verdana" w:cs="Calibri"/>
        </w:rPr>
        <w:t>štiri</w:t>
      </w:r>
      <w:r w:rsidRPr="001530DF">
        <w:rPr>
          <w:rFonts w:ascii="Verdana" w:eastAsia="Cambria" w:hAnsi="Verdana" w:cs="Calibri"/>
        </w:rPr>
        <w:t xml:space="preserve"> negativn</w:t>
      </w:r>
      <w:r>
        <w:rPr>
          <w:rFonts w:ascii="Verdana" w:eastAsia="Cambria" w:hAnsi="Verdana" w:cs="Calibri"/>
        </w:rPr>
        <w:t>e</w:t>
      </w:r>
      <w:r w:rsidRPr="001530DF">
        <w:rPr>
          <w:rFonts w:ascii="Verdana" w:eastAsia="Cambria" w:hAnsi="Verdana" w:cs="Calibri"/>
        </w:rPr>
        <w:t xml:space="preserve"> </w:t>
      </w:r>
      <w:r>
        <w:rPr>
          <w:rFonts w:ascii="Verdana" w:eastAsia="Cambria" w:hAnsi="Verdana" w:cs="Calibri"/>
        </w:rPr>
        <w:t xml:space="preserve">odločitve sveta, od katerih sta </w:t>
      </w:r>
      <w:r w:rsidR="00674752">
        <w:rPr>
          <w:rFonts w:ascii="Verdana" w:eastAsia="Cambria" w:hAnsi="Verdana" w:cs="Calibri"/>
        </w:rPr>
        <w:t xml:space="preserve">mu </w:t>
      </w:r>
      <w:r w:rsidR="0041199F">
        <w:rPr>
          <w:rFonts w:ascii="Verdana" w:eastAsia="Cambria" w:hAnsi="Verdana" w:cs="Calibri"/>
        </w:rPr>
        <w:t>bili po odločitvi pritožbene komisije</w:t>
      </w:r>
      <w:r>
        <w:rPr>
          <w:rFonts w:ascii="Verdana" w:eastAsia="Cambria" w:hAnsi="Verdana" w:cs="Calibri"/>
        </w:rPr>
        <w:t xml:space="preserve"> </w:t>
      </w:r>
      <w:r w:rsidR="0041199F">
        <w:rPr>
          <w:rFonts w:ascii="Verdana" w:eastAsia="Cambria" w:hAnsi="Verdana" w:cs="Calibri"/>
        </w:rPr>
        <w:t xml:space="preserve">decembra 2018 </w:t>
      </w:r>
      <w:r w:rsidR="00674752">
        <w:rPr>
          <w:rFonts w:ascii="Verdana" w:eastAsia="Cambria" w:hAnsi="Verdana" w:cs="Calibri"/>
        </w:rPr>
        <w:t xml:space="preserve">dve zadevi </w:t>
      </w:r>
      <w:r w:rsidR="0041199F">
        <w:rPr>
          <w:rFonts w:ascii="Verdana" w:eastAsia="Cambria" w:hAnsi="Verdana" w:cs="Calibri"/>
        </w:rPr>
        <w:t xml:space="preserve">vrnjeni v odločanje </w:t>
      </w:r>
      <w:r w:rsidR="00674752">
        <w:rPr>
          <w:rFonts w:ascii="Verdana" w:eastAsia="Cambria" w:hAnsi="Verdana" w:cs="Calibri"/>
        </w:rPr>
        <w:t>(</w:t>
      </w:r>
      <w:r w:rsidR="0041199F">
        <w:rPr>
          <w:rFonts w:ascii="Verdana" w:eastAsia="Cambria" w:hAnsi="Verdana" w:cs="Calibri"/>
        </w:rPr>
        <w:t xml:space="preserve">na </w:t>
      </w:r>
      <w:r w:rsidR="00674752">
        <w:rPr>
          <w:rFonts w:ascii="Verdana" w:eastAsia="Cambria" w:hAnsi="Verdana" w:cs="Calibri"/>
        </w:rPr>
        <w:t>prvo</w:t>
      </w:r>
      <w:r w:rsidR="0041199F">
        <w:rPr>
          <w:rFonts w:ascii="Verdana" w:eastAsia="Cambria" w:hAnsi="Verdana" w:cs="Calibri"/>
        </w:rPr>
        <w:t xml:space="preserve"> stopnjo</w:t>
      </w:r>
      <w:r w:rsidR="00674752">
        <w:rPr>
          <w:rFonts w:ascii="Verdana" w:eastAsia="Cambria" w:hAnsi="Verdana" w:cs="Calibri"/>
        </w:rPr>
        <w:t>)</w:t>
      </w:r>
      <w:r>
        <w:rPr>
          <w:rFonts w:ascii="Verdana" w:eastAsia="Cambria" w:hAnsi="Verdana" w:cs="Calibri"/>
        </w:rPr>
        <w:t xml:space="preserve">. </w:t>
      </w:r>
    </w:p>
    <w:p w14:paraId="6F5DDDA1" w14:textId="77777777" w:rsidR="003D7AF8" w:rsidRDefault="003D7AF8" w:rsidP="003D7AF8">
      <w:pPr>
        <w:spacing w:after="0" w:line="240" w:lineRule="auto"/>
        <w:jc w:val="both"/>
        <w:rPr>
          <w:rFonts w:ascii="Verdana" w:eastAsia="Cambria" w:hAnsi="Verdana" w:cs="Calibri"/>
        </w:rPr>
      </w:pPr>
    </w:p>
    <w:p w14:paraId="7F0C5322" w14:textId="77777777" w:rsidR="003D7AF8" w:rsidRDefault="003D7AF8" w:rsidP="003D7AF8">
      <w:pPr>
        <w:spacing w:after="0" w:line="240" w:lineRule="auto"/>
        <w:jc w:val="both"/>
        <w:rPr>
          <w:rFonts w:ascii="Verdana" w:eastAsia="Cambria" w:hAnsi="Verdana" w:cs="Calibri"/>
        </w:rPr>
      </w:pPr>
      <w:r>
        <w:rPr>
          <w:rFonts w:ascii="Verdana" w:eastAsia="Cambria" w:hAnsi="Verdana" w:cs="Calibri"/>
        </w:rPr>
        <w:t>Vzroki za negativne odločitve sveta so bili večinoma podobni kot pred letom 2018. Akreditacije praviloma niso bile podeljene ali podaljšane zaradi neustreznega znanstvenega, raziskovalnega, strokovnega ali umetniškega delovanja ustanoviteljev ali visokošolskih zavodov ter kadrovske neustreznosti:</w:t>
      </w:r>
    </w:p>
    <w:p w14:paraId="16DE440D" w14:textId="77777777" w:rsidR="003D7AF8" w:rsidRPr="001530DF" w:rsidRDefault="003D7AF8" w:rsidP="003D7AF8">
      <w:pPr>
        <w:spacing w:after="0" w:line="240" w:lineRule="auto"/>
        <w:jc w:val="both"/>
        <w:rPr>
          <w:rFonts w:ascii="Verdana" w:eastAsia="Cambria" w:hAnsi="Verdana" w:cs="Calibri"/>
        </w:rPr>
      </w:pPr>
      <w:r>
        <w:rPr>
          <w:rFonts w:ascii="Verdana" w:eastAsia="Cambria" w:hAnsi="Verdana" w:cs="Calibri"/>
        </w:rPr>
        <w:t xml:space="preserve"> </w:t>
      </w:r>
    </w:p>
    <w:p w14:paraId="67E57492" w14:textId="153B92E7" w:rsidR="003D7AF8" w:rsidRPr="001E5923" w:rsidRDefault="003D7AF8" w:rsidP="003D7AF8">
      <w:pPr>
        <w:pStyle w:val="Odstavekseznama"/>
        <w:numPr>
          <w:ilvl w:val="0"/>
          <w:numId w:val="38"/>
        </w:numPr>
        <w:jc w:val="both"/>
        <w:rPr>
          <w:rFonts w:ascii="Verdana" w:hAnsi="Verdana"/>
          <w:bCs/>
        </w:rPr>
      </w:pPr>
      <w:r w:rsidRPr="001E5923">
        <w:rPr>
          <w:rFonts w:ascii="Verdana" w:hAnsi="Verdana"/>
          <w:bCs/>
        </w:rPr>
        <w:t>ustanovitelj ni izkazoval ustreznega znanstveno-raziskovalnega in strokovnega delovanja na področjih, s katerih b</w:t>
      </w:r>
      <w:r w:rsidR="00674752">
        <w:rPr>
          <w:rFonts w:ascii="Verdana" w:hAnsi="Verdana"/>
          <w:bCs/>
        </w:rPr>
        <w:t>i</w:t>
      </w:r>
      <w:r w:rsidRPr="001E5923">
        <w:rPr>
          <w:rFonts w:ascii="Verdana" w:hAnsi="Verdana"/>
          <w:bCs/>
        </w:rPr>
        <w:t xml:space="preserve"> zavod opravljal izobraževalno in raziskovalno de</w:t>
      </w:r>
      <w:r>
        <w:rPr>
          <w:rFonts w:ascii="Verdana" w:hAnsi="Verdana"/>
          <w:bCs/>
        </w:rPr>
        <w:t>javnost</w:t>
      </w:r>
      <w:r w:rsidRPr="001E5923">
        <w:rPr>
          <w:rFonts w:ascii="Verdana" w:hAnsi="Verdana"/>
          <w:bCs/>
        </w:rPr>
        <w:t xml:space="preserve"> oziroma ni delal v raziskovalnih, znanstvenih programih in projektih, ki jih stroka priznava za take in se izvajajo v času presoje;</w:t>
      </w:r>
    </w:p>
    <w:p w14:paraId="68B5FAAD" w14:textId="77777777" w:rsidR="003D7AF8" w:rsidRPr="001E5923" w:rsidRDefault="003D7AF8" w:rsidP="003D7AF8">
      <w:pPr>
        <w:pStyle w:val="Odstavekseznama"/>
        <w:numPr>
          <w:ilvl w:val="0"/>
          <w:numId w:val="38"/>
        </w:numPr>
        <w:jc w:val="both"/>
        <w:rPr>
          <w:rFonts w:ascii="Verdana" w:hAnsi="Verdana"/>
        </w:rPr>
      </w:pPr>
      <w:r w:rsidRPr="001E5923">
        <w:rPr>
          <w:rFonts w:ascii="Verdana" w:hAnsi="Verdana"/>
          <w:bCs/>
        </w:rPr>
        <w:t xml:space="preserve">visokošolski zavod ni izkazoval ustrezne kadrovske strukture glede na področje, za katerega je želel akreditacijo, v povezavi z vsebino predlaganih študijskih programov,  ustreznostjo nekaterih predvidenih nosilcev in njihovimi veljavnimi odločbami o izvolitvah v naziv; </w:t>
      </w:r>
      <w:r w:rsidRPr="001E5923">
        <w:rPr>
          <w:rFonts w:ascii="Verdana" w:hAnsi="Verdana"/>
        </w:rPr>
        <w:t> </w:t>
      </w:r>
    </w:p>
    <w:p w14:paraId="285E9F6F" w14:textId="77777777" w:rsidR="003D7AF8" w:rsidRPr="001E5923" w:rsidRDefault="003D7AF8" w:rsidP="003D7AF8">
      <w:pPr>
        <w:pStyle w:val="Odstavekseznama"/>
        <w:numPr>
          <w:ilvl w:val="0"/>
          <w:numId w:val="38"/>
        </w:numPr>
        <w:jc w:val="both"/>
        <w:rPr>
          <w:rFonts w:ascii="Verdana" w:hAnsi="Verdana"/>
        </w:rPr>
      </w:pPr>
      <w:r w:rsidRPr="001E5923">
        <w:rPr>
          <w:rFonts w:ascii="Verdana" w:hAnsi="Verdana"/>
        </w:rPr>
        <w:t>zavod ni imel primerne raziskovalne dejavnosti in izvolitev v naziv predvidenih visokošolskih učiteljev, učne vsebine študijskih programov niso temeljile na znanstveno-raziskovalnem delu;</w:t>
      </w:r>
    </w:p>
    <w:p w14:paraId="51171DF8" w14:textId="77777777" w:rsidR="003D7AF8" w:rsidRPr="001E5923" w:rsidRDefault="003D7AF8" w:rsidP="003D7AF8">
      <w:pPr>
        <w:pStyle w:val="Odstavekseznama"/>
        <w:numPr>
          <w:ilvl w:val="0"/>
          <w:numId w:val="38"/>
        </w:numPr>
        <w:jc w:val="both"/>
        <w:rPr>
          <w:rFonts w:ascii="Verdana" w:hAnsi="Verdana"/>
        </w:rPr>
      </w:pPr>
      <w:r w:rsidRPr="001E5923">
        <w:rPr>
          <w:rFonts w:ascii="Verdana" w:hAnsi="Verdana"/>
        </w:rPr>
        <w:t>predlagani magistrski in doktorski študijski programi prihodnjim diplomantom ne bi omogočali pridobitev ustreznih kompetenc oziroma učnih izidov v skladu s 33. členom ZViS.</w:t>
      </w:r>
    </w:p>
    <w:p w14:paraId="7EE59938" w14:textId="77777777" w:rsidR="003D7AF8" w:rsidRDefault="003D7AF8" w:rsidP="003D7AF8">
      <w:pPr>
        <w:spacing w:after="0" w:line="240" w:lineRule="auto"/>
        <w:jc w:val="both"/>
        <w:rPr>
          <w:rFonts w:ascii="Verdana" w:eastAsia="Cambria" w:hAnsi="Verdana" w:cs="Times New Roman"/>
          <w:i/>
          <w:sz w:val="20"/>
          <w:szCs w:val="20"/>
        </w:rPr>
      </w:pPr>
    </w:p>
    <w:p w14:paraId="4933E949" w14:textId="77777777" w:rsidR="003D7AF8" w:rsidRPr="005239BE" w:rsidRDefault="003D7AF8" w:rsidP="003D7AF8">
      <w:pPr>
        <w:spacing w:after="0" w:line="240" w:lineRule="auto"/>
        <w:jc w:val="both"/>
        <w:rPr>
          <w:rFonts w:ascii="Verdana" w:eastAsia="Cambria" w:hAnsi="Verdana" w:cs="Calibri"/>
          <w:b/>
          <w:sz w:val="24"/>
          <w:szCs w:val="24"/>
        </w:rPr>
      </w:pPr>
      <w:r w:rsidRPr="005239BE">
        <w:rPr>
          <w:rFonts w:ascii="Verdana" w:eastAsia="Cambria" w:hAnsi="Verdana" w:cs="Calibri"/>
          <w:b/>
          <w:sz w:val="24"/>
          <w:szCs w:val="24"/>
        </w:rPr>
        <w:t>Primerjava z letom 2017</w:t>
      </w:r>
    </w:p>
    <w:p w14:paraId="67897DBE" w14:textId="77777777" w:rsidR="003D7AF8" w:rsidRPr="001530DF" w:rsidRDefault="003D7AF8" w:rsidP="003D7AF8">
      <w:pPr>
        <w:spacing w:after="0" w:line="240" w:lineRule="auto"/>
        <w:jc w:val="both"/>
        <w:rPr>
          <w:rFonts w:ascii="Verdana" w:eastAsia="Cambria" w:hAnsi="Verdana" w:cs="Calibri"/>
        </w:rPr>
      </w:pPr>
    </w:p>
    <w:p w14:paraId="20A9D544" w14:textId="77777777" w:rsidR="003D7AF8" w:rsidRDefault="003D7AF8" w:rsidP="003D7AF8">
      <w:pPr>
        <w:spacing w:after="0" w:line="240" w:lineRule="auto"/>
        <w:jc w:val="both"/>
        <w:rPr>
          <w:rFonts w:ascii="Verdana" w:eastAsia="Cambria" w:hAnsi="Verdana" w:cs="Calibri"/>
        </w:rPr>
      </w:pPr>
      <w:r>
        <w:rPr>
          <w:rFonts w:ascii="Verdana" w:eastAsia="Cambria" w:hAnsi="Verdana" w:cs="Calibri"/>
        </w:rPr>
        <w:t>Čeprav je v</w:t>
      </w:r>
      <w:r w:rsidRPr="001530DF">
        <w:rPr>
          <w:rFonts w:ascii="Verdana" w:eastAsia="Cambria" w:hAnsi="Verdana" w:cs="Calibri"/>
        </w:rPr>
        <w:t xml:space="preserve"> letu 2018 agenciji uspelo odpraviti </w:t>
      </w:r>
      <w:r>
        <w:rPr>
          <w:rFonts w:ascii="Verdana" w:eastAsia="Cambria" w:hAnsi="Verdana" w:cs="Calibri"/>
        </w:rPr>
        <w:t xml:space="preserve">večino </w:t>
      </w:r>
      <w:r w:rsidRPr="001530DF">
        <w:rPr>
          <w:rFonts w:ascii="Verdana" w:eastAsia="Cambria" w:hAnsi="Verdana" w:cs="Calibri"/>
        </w:rPr>
        <w:t>zaostank</w:t>
      </w:r>
      <w:r>
        <w:rPr>
          <w:rFonts w:ascii="Verdana" w:eastAsia="Cambria" w:hAnsi="Verdana" w:cs="Calibri"/>
        </w:rPr>
        <w:t>ov</w:t>
      </w:r>
      <w:r w:rsidRPr="001530DF">
        <w:rPr>
          <w:rFonts w:ascii="Verdana" w:eastAsia="Cambria" w:hAnsi="Verdana" w:cs="Calibri"/>
        </w:rPr>
        <w:t xml:space="preserve"> pri obravnavi vlog za akreditacijo zavodov in programov</w:t>
      </w:r>
      <w:r>
        <w:rPr>
          <w:rFonts w:ascii="Verdana" w:eastAsia="Cambria" w:hAnsi="Verdana" w:cs="Calibri"/>
        </w:rPr>
        <w:t xml:space="preserve"> po starih merilih, je</w:t>
      </w:r>
      <w:r w:rsidRPr="001530DF">
        <w:rPr>
          <w:rFonts w:ascii="Verdana" w:eastAsia="Cambria" w:hAnsi="Verdana" w:cs="Calibri"/>
        </w:rPr>
        <w:t xml:space="preserve"> </w:t>
      </w:r>
      <w:r>
        <w:rPr>
          <w:rFonts w:ascii="Verdana" w:eastAsia="Cambria" w:hAnsi="Verdana" w:cs="Calibri"/>
        </w:rPr>
        <w:t>v primerjavi z letom 2017 svet agencije sprejel precej manj akreditacijskih in evalvacijskih odločitev, in sicer:</w:t>
      </w:r>
    </w:p>
    <w:p w14:paraId="2E67531E" w14:textId="77777777" w:rsidR="003D7AF8" w:rsidRDefault="003D7AF8" w:rsidP="003D7AF8">
      <w:pPr>
        <w:spacing w:after="0" w:line="240" w:lineRule="auto"/>
        <w:jc w:val="both"/>
        <w:rPr>
          <w:rFonts w:ascii="Verdana" w:eastAsia="Cambria" w:hAnsi="Verdana" w:cs="Calibri"/>
        </w:rPr>
      </w:pPr>
    </w:p>
    <w:p w14:paraId="4CEC6F54" w14:textId="77777777" w:rsidR="003D7AF8" w:rsidRPr="00CB4A71" w:rsidRDefault="003D7AF8" w:rsidP="003D7AF8">
      <w:pPr>
        <w:spacing w:after="0" w:line="240" w:lineRule="auto"/>
        <w:jc w:val="both"/>
        <w:rPr>
          <w:rFonts w:ascii="Verdana" w:eastAsia="Cambria" w:hAnsi="Verdana" w:cs="Calibri"/>
          <w:u w:val="single"/>
        </w:rPr>
      </w:pPr>
      <w:r w:rsidRPr="00CB4A71">
        <w:rPr>
          <w:rFonts w:ascii="Verdana" w:eastAsia="Cambria" w:hAnsi="Verdana" w:cs="Calibri"/>
          <w:u w:val="single"/>
        </w:rPr>
        <w:t>Visoko šolstvo</w:t>
      </w:r>
    </w:p>
    <w:p w14:paraId="2577C3A8" w14:textId="77777777" w:rsidR="003D7AF8" w:rsidRDefault="003D7AF8" w:rsidP="003D7AF8">
      <w:pPr>
        <w:spacing w:after="0" w:line="240" w:lineRule="auto"/>
        <w:jc w:val="both"/>
        <w:rPr>
          <w:rFonts w:ascii="Verdana" w:eastAsia="Cambria" w:hAnsi="Verdana" w:cs="Calibri"/>
        </w:rPr>
      </w:pPr>
    </w:p>
    <w:p w14:paraId="7E99CB36" w14:textId="297F70C0" w:rsidR="003D7AF8" w:rsidRPr="001530DF" w:rsidRDefault="003D7AF8" w:rsidP="003D7AF8">
      <w:pPr>
        <w:numPr>
          <w:ilvl w:val="0"/>
          <w:numId w:val="28"/>
        </w:numPr>
        <w:spacing w:after="0" w:line="240" w:lineRule="auto"/>
        <w:jc w:val="both"/>
        <w:rPr>
          <w:rFonts w:ascii="Verdana" w:eastAsia="Cambria" w:hAnsi="Verdana" w:cs="Calibri"/>
        </w:rPr>
      </w:pPr>
      <w:r w:rsidRPr="001530DF">
        <w:rPr>
          <w:rFonts w:ascii="Verdana" w:eastAsia="Cambria" w:hAnsi="Verdana" w:cs="Calibri"/>
        </w:rPr>
        <w:t xml:space="preserve">akreditacije študijskih programov: </w:t>
      </w:r>
      <w:r>
        <w:rPr>
          <w:rFonts w:ascii="Verdana" w:eastAsia="Cambria" w:hAnsi="Verdana" w:cs="Calibri"/>
        </w:rPr>
        <w:t>39</w:t>
      </w:r>
      <w:r w:rsidRPr="001530DF">
        <w:rPr>
          <w:rFonts w:ascii="Verdana" w:eastAsia="Cambria" w:hAnsi="Verdana" w:cs="Calibri"/>
        </w:rPr>
        <w:t xml:space="preserve"> leta 201</w:t>
      </w:r>
      <w:r>
        <w:rPr>
          <w:rFonts w:ascii="Verdana" w:eastAsia="Cambria" w:hAnsi="Verdana" w:cs="Calibri"/>
        </w:rPr>
        <w:t>7</w:t>
      </w:r>
      <w:r w:rsidR="00674752">
        <w:rPr>
          <w:rFonts w:ascii="Verdana" w:eastAsia="Cambria" w:hAnsi="Verdana" w:cs="Calibri"/>
        </w:rPr>
        <w:t>,</w:t>
      </w:r>
      <w:r>
        <w:rPr>
          <w:rFonts w:ascii="Verdana" w:eastAsia="Cambria" w:hAnsi="Verdana" w:cs="Calibri"/>
        </w:rPr>
        <w:t xml:space="preserve"> 9</w:t>
      </w:r>
      <w:r w:rsidRPr="001530DF">
        <w:rPr>
          <w:rFonts w:ascii="Verdana" w:eastAsia="Cambria" w:hAnsi="Verdana" w:cs="Calibri"/>
        </w:rPr>
        <w:t xml:space="preserve"> leta 201</w:t>
      </w:r>
      <w:r>
        <w:rPr>
          <w:rFonts w:ascii="Verdana" w:eastAsia="Cambria" w:hAnsi="Verdana" w:cs="Calibri"/>
        </w:rPr>
        <w:t>8</w:t>
      </w:r>
      <w:r w:rsidRPr="001530DF">
        <w:rPr>
          <w:rFonts w:ascii="Verdana" w:eastAsia="Cambria" w:hAnsi="Verdana" w:cs="Calibri"/>
        </w:rPr>
        <w:t>, kar pomeni, da</w:t>
      </w:r>
      <w:r>
        <w:rPr>
          <w:rFonts w:ascii="Verdana" w:eastAsia="Cambria" w:hAnsi="Verdana" w:cs="Calibri"/>
        </w:rPr>
        <w:t xml:space="preserve"> se</w:t>
      </w:r>
      <w:r w:rsidRPr="001530DF">
        <w:rPr>
          <w:rFonts w:ascii="Verdana" w:eastAsia="Cambria" w:hAnsi="Verdana" w:cs="Calibri"/>
        </w:rPr>
        <w:t xml:space="preserve"> je število akreditacij </w:t>
      </w:r>
      <w:r>
        <w:rPr>
          <w:rFonts w:ascii="Verdana" w:eastAsia="Cambria" w:hAnsi="Verdana" w:cs="Calibri"/>
        </w:rPr>
        <w:t xml:space="preserve">zmanjšalo </w:t>
      </w:r>
      <w:r w:rsidRPr="001530DF">
        <w:rPr>
          <w:rFonts w:ascii="Verdana" w:eastAsia="Cambria" w:hAnsi="Verdana" w:cs="Calibri"/>
        </w:rPr>
        <w:t xml:space="preserve">za </w:t>
      </w:r>
      <w:r>
        <w:rPr>
          <w:rFonts w:ascii="Verdana" w:eastAsia="Cambria" w:hAnsi="Verdana" w:cs="Calibri"/>
        </w:rPr>
        <w:t>77</w:t>
      </w:r>
      <w:r w:rsidRPr="001530DF">
        <w:rPr>
          <w:rFonts w:ascii="Verdana" w:eastAsia="Cambria" w:hAnsi="Verdana" w:cs="Calibri"/>
        </w:rPr>
        <w:t xml:space="preserve"> %</w:t>
      </w:r>
      <w:r w:rsidR="00674752">
        <w:rPr>
          <w:rFonts w:ascii="Verdana" w:eastAsia="Cambria" w:hAnsi="Verdana" w:cs="Calibri"/>
        </w:rPr>
        <w:t>;</w:t>
      </w:r>
      <w:r w:rsidRPr="001530DF">
        <w:rPr>
          <w:rFonts w:ascii="Verdana" w:eastAsia="Cambria" w:hAnsi="Verdana" w:cs="Calibri"/>
        </w:rPr>
        <w:t xml:space="preserve"> </w:t>
      </w:r>
    </w:p>
    <w:p w14:paraId="6D15C5E2" w14:textId="19153E82" w:rsidR="003D7AF8" w:rsidRPr="001530DF" w:rsidRDefault="003D7AF8" w:rsidP="003D7AF8">
      <w:pPr>
        <w:numPr>
          <w:ilvl w:val="0"/>
          <w:numId w:val="28"/>
        </w:numPr>
        <w:spacing w:after="0" w:line="240" w:lineRule="auto"/>
        <w:jc w:val="both"/>
        <w:rPr>
          <w:rFonts w:ascii="Verdana" w:eastAsia="Cambria" w:hAnsi="Verdana" w:cs="Calibri"/>
        </w:rPr>
      </w:pPr>
      <w:r w:rsidRPr="001530DF">
        <w:rPr>
          <w:rFonts w:ascii="Verdana" w:eastAsia="Cambria" w:hAnsi="Verdana" w:cs="Calibri"/>
        </w:rPr>
        <w:t>podaljšanj</w:t>
      </w:r>
      <w:r>
        <w:rPr>
          <w:rFonts w:ascii="Verdana" w:eastAsia="Cambria" w:hAnsi="Verdana" w:cs="Calibri"/>
        </w:rPr>
        <w:t>e</w:t>
      </w:r>
      <w:r w:rsidRPr="001530DF">
        <w:rPr>
          <w:rFonts w:ascii="Verdana" w:eastAsia="Cambria" w:hAnsi="Verdana" w:cs="Calibri"/>
        </w:rPr>
        <w:t xml:space="preserve"> akreditacij</w:t>
      </w:r>
      <w:r>
        <w:rPr>
          <w:rFonts w:ascii="Verdana" w:eastAsia="Cambria" w:hAnsi="Verdana" w:cs="Calibri"/>
        </w:rPr>
        <w:t>e</w:t>
      </w:r>
      <w:r w:rsidRPr="001530DF">
        <w:rPr>
          <w:rFonts w:ascii="Verdana" w:eastAsia="Cambria" w:hAnsi="Verdana" w:cs="Calibri"/>
        </w:rPr>
        <w:t xml:space="preserve"> študijski</w:t>
      </w:r>
      <w:r>
        <w:rPr>
          <w:rFonts w:ascii="Verdana" w:eastAsia="Cambria" w:hAnsi="Verdana" w:cs="Calibri"/>
        </w:rPr>
        <w:t>m</w:t>
      </w:r>
      <w:r w:rsidRPr="001530DF">
        <w:rPr>
          <w:rFonts w:ascii="Verdana" w:eastAsia="Cambria" w:hAnsi="Verdana" w:cs="Calibri"/>
        </w:rPr>
        <w:t xml:space="preserve"> programo</w:t>
      </w:r>
      <w:r>
        <w:rPr>
          <w:rFonts w:ascii="Verdana" w:eastAsia="Cambria" w:hAnsi="Verdana" w:cs="Calibri"/>
        </w:rPr>
        <w:t>m po starih merilih</w:t>
      </w:r>
      <w:r w:rsidRPr="001530DF">
        <w:rPr>
          <w:rFonts w:ascii="Verdana" w:eastAsia="Cambria" w:hAnsi="Verdana" w:cs="Calibri"/>
        </w:rPr>
        <w:t xml:space="preserve">: </w:t>
      </w:r>
      <w:r>
        <w:rPr>
          <w:rFonts w:ascii="Verdana" w:eastAsia="Cambria" w:hAnsi="Verdana" w:cs="Calibri"/>
        </w:rPr>
        <w:t xml:space="preserve">100 </w:t>
      </w:r>
      <w:r w:rsidRPr="001530DF">
        <w:rPr>
          <w:rFonts w:ascii="Verdana" w:eastAsia="Cambria" w:hAnsi="Verdana" w:cs="Calibri"/>
        </w:rPr>
        <w:t>leta 201</w:t>
      </w:r>
      <w:r>
        <w:rPr>
          <w:rFonts w:ascii="Verdana" w:eastAsia="Cambria" w:hAnsi="Verdana" w:cs="Calibri"/>
        </w:rPr>
        <w:t>7</w:t>
      </w:r>
      <w:r w:rsidR="00674752">
        <w:rPr>
          <w:rFonts w:ascii="Verdana" w:eastAsia="Cambria" w:hAnsi="Verdana" w:cs="Calibri"/>
        </w:rPr>
        <w:t>,</w:t>
      </w:r>
      <w:r w:rsidRPr="001530DF">
        <w:rPr>
          <w:rFonts w:ascii="Verdana" w:eastAsia="Cambria" w:hAnsi="Verdana" w:cs="Calibri"/>
        </w:rPr>
        <w:t xml:space="preserve"> </w:t>
      </w:r>
      <w:r>
        <w:rPr>
          <w:rFonts w:ascii="Verdana" w:eastAsia="Cambria" w:hAnsi="Verdana" w:cs="Calibri"/>
        </w:rPr>
        <w:t xml:space="preserve">22 </w:t>
      </w:r>
      <w:r w:rsidRPr="001530DF">
        <w:rPr>
          <w:rFonts w:ascii="Verdana" w:eastAsia="Cambria" w:hAnsi="Verdana" w:cs="Calibri"/>
        </w:rPr>
        <w:t>leta 201</w:t>
      </w:r>
      <w:r>
        <w:rPr>
          <w:rFonts w:ascii="Verdana" w:eastAsia="Cambria" w:hAnsi="Verdana" w:cs="Calibri"/>
        </w:rPr>
        <w:t>8 (zmanjšanje za 78 %)</w:t>
      </w:r>
      <w:r w:rsidRPr="001530DF">
        <w:rPr>
          <w:rFonts w:ascii="Verdana" w:eastAsia="Cambria" w:hAnsi="Verdana" w:cs="Calibri"/>
        </w:rPr>
        <w:t xml:space="preserve">; </w:t>
      </w:r>
    </w:p>
    <w:p w14:paraId="77556543" w14:textId="5F0BC303" w:rsidR="003D7AF8" w:rsidRPr="001530DF" w:rsidRDefault="003D7AF8" w:rsidP="003D7AF8">
      <w:pPr>
        <w:numPr>
          <w:ilvl w:val="0"/>
          <w:numId w:val="28"/>
        </w:numPr>
        <w:spacing w:after="0" w:line="240" w:lineRule="auto"/>
        <w:jc w:val="both"/>
        <w:rPr>
          <w:rFonts w:ascii="Verdana" w:eastAsia="Cambria" w:hAnsi="Verdana" w:cs="Calibri"/>
        </w:rPr>
      </w:pPr>
      <w:r w:rsidRPr="001530DF">
        <w:rPr>
          <w:rFonts w:ascii="Verdana" w:eastAsia="Cambria" w:hAnsi="Verdana" w:cs="Calibri"/>
        </w:rPr>
        <w:t>prve akreditacije visokošolskih zavodov:</w:t>
      </w:r>
      <w:r w:rsidRPr="001530DF">
        <w:rPr>
          <w:rFonts w:ascii="Verdana" w:eastAsia="Cambria" w:hAnsi="Verdana" w:cs="Calibri"/>
          <w:b/>
        </w:rPr>
        <w:t xml:space="preserve"> </w:t>
      </w:r>
      <w:r w:rsidRPr="00C53B46">
        <w:rPr>
          <w:rFonts w:ascii="Verdana" w:eastAsia="Cambria" w:hAnsi="Verdana" w:cs="Calibri"/>
        </w:rPr>
        <w:t>0 leta 2017</w:t>
      </w:r>
      <w:r w:rsidR="00674752">
        <w:rPr>
          <w:rFonts w:ascii="Verdana" w:eastAsia="Cambria" w:hAnsi="Verdana" w:cs="Calibri"/>
        </w:rPr>
        <w:t>,</w:t>
      </w:r>
      <w:r w:rsidRPr="00C53B46">
        <w:rPr>
          <w:rFonts w:ascii="Verdana" w:eastAsia="Cambria" w:hAnsi="Verdana" w:cs="Calibri"/>
        </w:rPr>
        <w:t xml:space="preserve"> 0</w:t>
      </w:r>
      <w:r w:rsidRPr="001530DF">
        <w:rPr>
          <w:rFonts w:ascii="Verdana" w:eastAsia="Cambria" w:hAnsi="Verdana" w:cs="Calibri"/>
        </w:rPr>
        <w:t xml:space="preserve"> leta 201</w:t>
      </w:r>
      <w:r>
        <w:rPr>
          <w:rFonts w:ascii="Verdana" w:eastAsia="Cambria" w:hAnsi="Verdana" w:cs="Calibri"/>
        </w:rPr>
        <w:t>8</w:t>
      </w:r>
      <w:r w:rsidRPr="001530DF">
        <w:rPr>
          <w:rFonts w:ascii="Verdana" w:eastAsia="Cambria" w:hAnsi="Verdana" w:cs="Calibri"/>
        </w:rPr>
        <w:t xml:space="preserve">; </w:t>
      </w:r>
    </w:p>
    <w:p w14:paraId="221AA66A" w14:textId="6145365C" w:rsidR="003D7AF8" w:rsidRDefault="003D7AF8" w:rsidP="003D7AF8">
      <w:pPr>
        <w:numPr>
          <w:ilvl w:val="0"/>
          <w:numId w:val="28"/>
        </w:numPr>
        <w:spacing w:after="0" w:line="240" w:lineRule="auto"/>
        <w:jc w:val="both"/>
        <w:rPr>
          <w:rFonts w:ascii="Verdana" w:eastAsia="Cambria" w:hAnsi="Verdana" w:cs="Calibri"/>
        </w:rPr>
      </w:pPr>
      <w:r w:rsidRPr="001530DF">
        <w:rPr>
          <w:rFonts w:ascii="Verdana" w:eastAsia="Cambria" w:hAnsi="Verdana" w:cs="Calibri"/>
        </w:rPr>
        <w:lastRenderedPageBreak/>
        <w:t>podaljšanj</w:t>
      </w:r>
      <w:r>
        <w:rPr>
          <w:rFonts w:ascii="Verdana" w:eastAsia="Cambria" w:hAnsi="Verdana" w:cs="Calibri"/>
        </w:rPr>
        <w:t>e</w:t>
      </w:r>
      <w:r w:rsidRPr="001530DF">
        <w:rPr>
          <w:rFonts w:ascii="Verdana" w:eastAsia="Cambria" w:hAnsi="Verdana" w:cs="Calibri"/>
        </w:rPr>
        <w:t xml:space="preserve"> akreditacij</w:t>
      </w:r>
      <w:r>
        <w:rPr>
          <w:rFonts w:ascii="Verdana" w:eastAsia="Cambria" w:hAnsi="Verdana" w:cs="Calibri"/>
        </w:rPr>
        <w:t>e</w:t>
      </w:r>
      <w:r w:rsidRPr="001530DF">
        <w:rPr>
          <w:rFonts w:ascii="Verdana" w:eastAsia="Cambria" w:hAnsi="Verdana" w:cs="Calibri"/>
        </w:rPr>
        <w:t xml:space="preserve"> visokošolski</w:t>
      </w:r>
      <w:r>
        <w:rPr>
          <w:rFonts w:ascii="Verdana" w:eastAsia="Cambria" w:hAnsi="Verdana" w:cs="Calibri"/>
        </w:rPr>
        <w:t>m</w:t>
      </w:r>
      <w:r w:rsidRPr="001530DF">
        <w:rPr>
          <w:rFonts w:ascii="Verdana" w:eastAsia="Cambria" w:hAnsi="Verdana" w:cs="Calibri"/>
        </w:rPr>
        <w:t xml:space="preserve"> zavodo</w:t>
      </w:r>
      <w:r>
        <w:rPr>
          <w:rFonts w:ascii="Verdana" w:eastAsia="Cambria" w:hAnsi="Verdana" w:cs="Calibri"/>
        </w:rPr>
        <w:t>m</w:t>
      </w:r>
      <w:r w:rsidRPr="001530DF">
        <w:rPr>
          <w:rFonts w:ascii="Verdana" w:eastAsia="Cambria" w:hAnsi="Verdana" w:cs="Calibri"/>
        </w:rPr>
        <w:t xml:space="preserve">: </w:t>
      </w:r>
      <w:r>
        <w:rPr>
          <w:rFonts w:ascii="Verdana" w:eastAsia="Cambria" w:hAnsi="Verdana" w:cs="Calibri"/>
        </w:rPr>
        <w:t xml:space="preserve">7 </w:t>
      </w:r>
      <w:r w:rsidRPr="001530DF">
        <w:rPr>
          <w:rFonts w:ascii="Verdana" w:eastAsia="Cambria" w:hAnsi="Verdana" w:cs="Calibri"/>
        </w:rPr>
        <w:t>leta 201</w:t>
      </w:r>
      <w:r>
        <w:rPr>
          <w:rFonts w:ascii="Verdana" w:eastAsia="Cambria" w:hAnsi="Verdana" w:cs="Calibri"/>
        </w:rPr>
        <w:t>7</w:t>
      </w:r>
      <w:r w:rsidR="00674752">
        <w:rPr>
          <w:rFonts w:ascii="Verdana" w:eastAsia="Cambria" w:hAnsi="Verdana" w:cs="Calibri"/>
        </w:rPr>
        <w:t>,</w:t>
      </w:r>
      <w:r w:rsidRPr="001530DF">
        <w:rPr>
          <w:rFonts w:ascii="Verdana" w:eastAsia="Cambria" w:hAnsi="Verdana" w:cs="Calibri"/>
        </w:rPr>
        <w:t xml:space="preserve"> </w:t>
      </w:r>
      <w:r>
        <w:rPr>
          <w:rFonts w:ascii="Verdana" w:eastAsia="Cambria" w:hAnsi="Verdana" w:cs="Calibri"/>
        </w:rPr>
        <w:t>0</w:t>
      </w:r>
      <w:r w:rsidRPr="001530DF">
        <w:rPr>
          <w:rFonts w:ascii="Verdana" w:eastAsia="Cambria" w:hAnsi="Verdana" w:cs="Calibri"/>
        </w:rPr>
        <w:t xml:space="preserve"> leta 201</w:t>
      </w:r>
      <w:r>
        <w:rPr>
          <w:rFonts w:ascii="Verdana" w:eastAsia="Cambria" w:hAnsi="Verdana" w:cs="Calibri"/>
        </w:rPr>
        <w:t>8;</w:t>
      </w:r>
    </w:p>
    <w:p w14:paraId="736EF9B6" w14:textId="77777777" w:rsidR="003D7AF8" w:rsidRPr="001530DF" w:rsidRDefault="003D7AF8" w:rsidP="003D7AF8">
      <w:pPr>
        <w:numPr>
          <w:ilvl w:val="0"/>
          <w:numId w:val="28"/>
        </w:numPr>
        <w:spacing w:after="0" w:line="240" w:lineRule="auto"/>
        <w:jc w:val="both"/>
        <w:rPr>
          <w:rFonts w:ascii="Verdana" w:eastAsia="Cambria" w:hAnsi="Verdana" w:cs="Calibri"/>
        </w:rPr>
      </w:pPr>
      <w:r>
        <w:rPr>
          <w:rFonts w:ascii="Verdana" w:eastAsia="Cambria" w:hAnsi="Verdana" w:cs="Calibri"/>
        </w:rPr>
        <w:t>spremembe visokošolskih zavodov: 7 leta 2017, 8 leta 2018</w:t>
      </w:r>
      <w:r w:rsidRPr="001530DF">
        <w:rPr>
          <w:rFonts w:ascii="Verdana" w:eastAsia="Cambria" w:hAnsi="Verdana" w:cs="Calibri"/>
        </w:rPr>
        <w:t>.</w:t>
      </w:r>
    </w:p>
    <w:p w14:paraId="036EA6B8" w14:textId="77777777" w:rsidR="003D7AF8" w:rsidRPr="001530DF" w:rsidRDefault="003D7AF8" w:rsidP="003D7AF8">
      <w:pPr>
        <w:spacing w:after="0" w:line="240" w:lineRule="auto"/>
        <w:jc w:val="both"/>
        <w:rPr>
          <w:rFonts w:ascii="Verdana" w:eastAsia="Cambria" w:hAnsi="Verdana" w:cs="Calibri"/>
        </w:rPr>
      </w:pPr>
    </w:p>
    <w:p w14:paraId="46FE8E07" w14:textId="37435352" w:rsidR="003D7AF8" w:rsidRDefault="00674752" w:rsidP="003D7AF8">
      <w:pPr>
        <w:spacing w:after="0" w:line="240" w:lineRule="auto"/>
        <w:jc w:val="both"/>
        <w:rPr>
          <w:rFonts w:ascii="Verdana" w:eastAsia="Cambria" w:hAnsi="Verdana" w:cs="Calibri"/>
        </w:rPr>
      </w:pPr>
      <w:r>
        <w:rPr>
          <w:rFonts w:ascii="Verdana" w:eastAsia="Cambria" w:hAnsi="Verdana" w:cs="Calibri"/>
        </w:rPr>
        <w:t>Leta 2018 je bilo še</w:t>
      </w:r>
      <w:r w:rsidR="003D7AF8" w:rsidRPr="00A965B2">
        <w:rPr>
          <w:rFonts w:ascii="Verdana" w:eastAsia="Cambria" w:hAnsi="Verdana" w:cs="Calibri"/>
        </w:rPr>
        <w:t xml:space="preserve"> 11 ogledov oziroma obiskov v postopkih sprememb visokošolskih zavodov, prve akreditacije študijskih programov in podaljšanja akreditacije študijskim programom (v letu 2017 jih je bilo 32). V letu 2018 ni bilo evalvacijskih obiskov v postopkih podaljšanja akreditacije visokošolskim zavodom (v letu 2017 jih je bilo 6). </w:t>
      </w:r>
    </w:p>
    <w:p w14:paraId="2E9B6A53" w14:textId="77777777" w:rsidR="003D7AF8" w:rsidRPr="001530DF" w:rsidRDefault="003D7AF8" w:rsidP="003D7AF8">
      <w:pPr>
        <w:spacing w:after="0" w:line="240" w:lineRule="auto"/>
        <w:jc w:val="both"/>
        <w:rPr>
          <w:rFonts w:ascii="Verdana" w:eastAsia="Cambria" w:hAnsi="Verdana" w:cs="Calibri"/>
        </w:rPr>
      </w:pPr>
    </w:p>
    <w:p w14:paraId="1B4ACC72" w14:textId="77777777" w:rsidR="003D7AF8" w:rsidRDefault="003D7AF8" w:rsidP="003D7AF8">
      <w:pPr>
        <w:spacing w:after="0" w:line="240" w:lineRule="auto"/>
        <w:jc w:val="both"/>
        <w:rPr>
          <w:rFonts w:ascii="Verdana" w:eastAsia="Cambria" w:hAnsi="Verdana" w:cs="Calibri"/>
        </w:rPr>
      </w:pPr>
      <w:r>
        <w:rPr>
          <w:rFonts w:ascii="Verdana" w:eastAsia="Cambria" w:hAnsi="Verdana" w:cs="Calibri"/>
        </w:rPr>
        <w:t>Agencija je pregledala in evidentirala še 437 sprememb študijskih programov (v letu 2017 jih je bilo 472).</w:t>
      </w:r>
    </w:p>
    <w:p w14:paraId="1F91E02C" w14:textId="77777777" w:rsidR="003D7AF8" w:rsidRPr="001530DF" w:rsidRDefault="003D7AF8" w:rsidP="003D7AF8">
      <w:pPr>
        <w:spacing w:after="0" w:line="240" w:lineRule="auto"/>
        <w:jc w:val="both"/>
        <w:rPr>
          <w:rFonts w:ascii="Verdana" w:eastAsia="Cambria" w:hAnsi="Verdana" w:cs="Calibri"/>
        </w:rPr>
      </w:pPr>
    </w:p>
    <w:p w14:paraId="3A51B8A6" w14:textId="77777777" w:rsidR="003D7AF8" w:rsidRPr="00C32814" w:rsidRDefault="003D7AF8" w:rsidP="003D7AF8">
      <w:pPr>
        <w:spacing w:after="0" w:line="240" w:lineRule="auto"/>
        <w:jc w:val="both"/>
        <w:rPr>
          <w:rFonts w:ascii="Verdana" w:eastAsia="Cambria" w:hAnsi="Verdana" w:cs="Calibri"/>
          <w:u w:val="single"/>
        </w:rPr>
      </w:pPr>
      <w:r w:rsidRPr="00C32814">
        <w:rPr>
          <w:rFonts w:ascii="Verdana" w:eastAsia="Cambria" w:hAnsi="Verdana" w:cs="Calibri"/>
          <w:u w:val="single"/>
        </w:rPr>
        <w:t>Višje šolstvo</w:t>
      </w:r>
    </w:p>
    <w:p w14:paraId="6C2588C6" w14:textId="77777777" w:rsidR="003D7AF8" w:rsidRPr="009D00A0" w:rsidRDefault="003D7AF8" w:rsidP="003D7AF8">
      <w:pPr>
        <w:spacing w:after="0" w:line="240" w:lineRule="auto"/>
        <w:jc w:val="both"/>
        <w:rPr>
          <w:rFonts w:ascii="Verdana" w:eastAsia="Cambria" w:hAnsi="Verdana" w:cs="Calibri"/>
          <w:highlight w:val="lightGray"/>
          <w:u w:val="single"/>
        </w:rPr>
      </w:pPr>
    </w:p>
    <w:p w14:paraId="76FD1747" w14:textId="77777777" w:rsidR="003D7AF8" w:rsidRDefault="003D7AF8" w:rsidP="003D7AF8">
      <w:pPr>
        <w:numPr>
          <w:ilvl w:val="0"/>
          <w:numId w:val="29"/>
        </w:numPr>
        <w:spacing w:after="0" w:line="240" w:lineRule="auto"/>
        <w:jc w:val="both"/>
        <w:rPr>
          <w:rFonts w:ascii="Verdana" w:eastAsia="Times New Roman" w:hAnsi="Verdana"/>
        </w:rPr>
      </w:pPr>
      <w:proofErr w:type="spellStart"/>
      <w:r>
        <w:rPr>
          <w:rFonts w:ascii="Verdana" w:eastAsia="Times New Roman" w:hAnsi="Verdana"/>
        </w:rPr>
        <w:t>evalvacijski</w:t>
      </w:r>
      <w:proofErr w:type="spellEnd"/>
      <w:r>
        <w:rPr>
          <w:rFonts w:ascii="Verdana" w:eastAsia="Times New Roman" w:hAnsi="Verdana"/>
        </w:rPr>
        <w:t xml:space="preserve"> obiski šol: 11 v letu 2017; 9 v letu 2018;</w:t>
      </w:r>
    </w:p>
    <w:p w14:paraId="6672E8AA" w14:textId="77777777" w:rsidR="003D7AF8" w:rsidRDefault="003D7AF8" w:rsidP="003D7AF8">
      <w:pPr>
        <w:numPr>
          <w:ilvl w:val="0"/>
          <w:numId w:val="29"/>
        </w:numPr>
        <w:spacing w:after="0" w:line="240" w:lineRule="auto"/>
        <w:jc w:val="both"/>
        <w:rPr>
          <w:rFonts w:ascii="Verdana" w:eastAsia="Times New Roman" w:hAnsi="Verdana"/>
        </w:rPr>
      </w:pPr>
      <w:r>
        <w:rPr>
          <w:rFonts w:ascii="Verdana" w:eastAsia="Times New Roman" w:hAnsi="Verdana"/>
        </w:rPr>
        <w:t xml:space="preserve">mnenja o doseganju z zakonom predpisanih standardov: 9 v letu 2017; </w:t>
      </w:r>
      <w:r w:rsidRPr="00A27D76">
        <w:rPr>
          <w:rFonts w:ascii="Verdana" w:eastAsia="Times New Roman" w:hAnsi="Verdana"/>
        </w:rPr>
        <w:t>9 v letu 2018.</w:t>
      </w:r>
      <w:r>
        <w:rPr>
          <w:rFonts w:ascii="Verdana" w:eastAsia="Times New Roman" w:hAnsi="Verdana"/>
        </w:rPr>
        <w:t xml:space="preserve"> </w:t>
      </w:r>
    </w:p>
    <w:p w14:paraId="6154B4EC" w14:textId="77777777" w:rsidR="003D7AF8" w:rsidRPr="00C32814" w:rsidRDefault="003D7AF8" w:rsidP="003D7AF8">
      <w:pPr>
        <w:spacing w:after="0" w:line="240" w:lineRule="auto"/>
        <w:jc w:val="both"/>
        <w:rPr>
          <w:rFonts w:ascii="Verdana" w:eastAsia="Times New Roman" w:hAnsi="Verdana"/>
        </w:rPr>
      </w:pPr>
      <w:r w:rsidRPr="00C32814">
        <w:rPr>
          <w:rFonts w:ascii="Verdana" w:eastAsia="Cambria" w:hAnsi="Verdana" w:cs="Calibri"/>
          <w:highlight w:val="lightGray"/>
        </w:rPr>
        <w:t xml:space="preserve"> </w:t>
      </w:r>
    </w:p>
    <w:p w14:paraId="09ADA28C" w14:textId="77777777" w:rsidR="003D7AF8" w:rsidRPr="00EA4DF1" w:rsidRDefault="003D7AF8" w:rsidP="003D7AF8">
      <w:pPr>
        <w:spacing w:after="0" w:line="240" w:lineRule="auto"/>
        <w:jc w:val="both"/>
        <w:rPr>
          <w:rFonts w:ascii="Verdana" w:eastAsia="Cambria" w:hAnsi="Verdana" w:cs="Calibri"/>
        </w:rPr>
      </w:pPr>
      <w:r>
        <w:rPr>
          <w:rFonts w:ascii="Verdana" w:eastAsia="Cambria" w:hAnsi="Verdana" w:cs="Calibri"/>
        </w:rPr>
        <w:t>Vzrokov za razmeroma majhno število akreditacijskih in evalvacijskih odločitev v primerjavi z letom 2017 je več:</w:t>
      </w:r>
    </w:p>
    <w:p w14:paraId="65417C0C" w14:textId="77777777" w:rsidR="003D7AF8" w:rsidRDefault="003D7AF8" w:rsidP="003D7AF8">
      <w:pPr>
        <w:spacing w:after="0" w:line="240" w:lineRule="auto"/>
        <w:jc w:val="both"/>
        <w:rPr>
          <w:rFonts w:ascii="Verdana" w:eastAsia="Cambria" w:hAnsi="Verdana" w:cs="Calibri"/>
          <w:u w:val="single"/>
        </w:rPr>
      </w:pPr>
    </w:p>
    <w:p w14:paraId="1C40B220" w14:textId="77777777" w:rsidR="003D7AF8" w:rsidRDefault="003D7AF8" w:rsidP="003D7AF8">
      <w:pPr>
        <w:pStyle w:val="Odstavekseznama"/>
        <w:numPr>
          <w:ilvl w:val="0"/>
          <w:numId w:val="37"/>
        </w:numPr>
        <w:spacing w:after="0" w:line="240" w:lineRule="auto"/>
        <w:jc w:val="both"/>
        <w:rPr>
          <w:rFonts w:ascii="Verdana" w:eastAsia="Cambria" w:hAnsi="Verdana" w:cs="Calibri"/>
        </w:rPr>
      </w:pPr>
      <w:r>
        <w:rPr>
          <w:rFonts w:ascii="Verdana" w:eastAsia="Cambria" w:hAnsi="Verdana" w:cs="Calibri"/>
        </w:rPr>
        <w:t>zapoznel začetek delovanja informacijskega sistema eNakvis – večino vlog je bilo mogoče vložiti oziroma obravnavati šele v drugi polovici leta 2018;</w:t>
      </w:r>
    </w:p>
    <w:p w14:paraId="78FE4053" w14:textId="2CE039D8" w:rsidR="003D7AF8" w:rsidRDefault="003D7AF8" w:rsidP="003D7AF8">
      <w:pPr>
        <w:pStyle w:val="Odstavekseznama"/>
        <w:numPr>
          <w:ilvl w:val="0"/>
          <w:numId w:val="37"/>
        </w:numPr>
        <w:spacing w:after="0" w:line="240" w:lineRule="auto"/>
        <w:jc w:val="both"/>
        <w:rPr>
          <w:rFonts w:ascii="Verdana" w:eastAsia="Cambria" w:hAnsi="Verdana" w:cs="Calibri"/>
        </w:rPr>
      </w:pPr>
      <w:r>
        <w:rPr>
          <w:rFonts w:ascii="Verdana" w:eastAsia="Cambria" w:hAnsi="Verdana" w:cs="Calibri"/>
        </w:rPr>
        <w:t xml:space="preserve">trajanje postopkov po ZViS-K in novih merilih – postopki so dolgotrajnejši in kompleksnejši, to velja še posebej za podaljšanje akreditacije visokošolskim zavodom. Postopek prve akreditacije zavoda oziroma akreditacije programa traja namreč 9 mesecev, podaljšanja akreditacije zavodom pa več kot eno leto, </w:t>
      </w:r>
      <w:r w:rsidR="00674752">
        <w:rPr>
          <w:rFonts w:ascii="Verdana" w:eastAsia="Cambria" w:hAnsi="Verdana" w:cs="Calibri"/>
        </w:rPr>
        <w:t xml:space="preserve">in sicer </w:t>
      </w:r>
      <w:r>
        <w:rPr>
          <w:rFonts w:ascii="Verdana" w:eastAsia="Cambria" w:hAnsi="Verdana" w:cs="Calibri"/>
        </w:rPr>
        <w:t>15 mesecev;</w:t>
      </w:r>
    </w:p>
    <w:p w14:paraId="4CF6B407" w14:textId="1EB686CA" w:rsidR="003D7AF8" w:rsidRDefault="003D7AF8" w:rsidP="003D7AF8">
      <w:pPr>
        <w:pStyle w:val="Odstavekseznama"/>
        <w:numPr>
          <w:ilvl w:val="0"/>
          <w:numId w:val="37"/>
        </w:numPr>
        <w:spacing w:after="0" w:line="240" w:lineRule="auto"/>
        <w:jc w:val="both"/>
        <w:rPr>
          <w:rFonts w:ascii="Verdana" w:eastAsia="Cambria" w:hAnsi="Verdana" w:cs="Calibri"/>
        </w:rPr>
      </w:pPr>
      <w:r>
        <w:rPr>
          <w:rFonts w:ascii="Verdana" w:eastAsia="Cambria" w:hAnsi="Verdana" w:cs="Calibri"/>
        </w:rPr>
        <w:t>podaljšanje akreditacije študijskim programom ni več v pristojnosti agencije, v letu 2018 je obravnavala le še vloge po starih merilih, skoraj vsi postopki (razen</w:t>
      </w:r>
      <w:r w:rsidR="0041199F">
        <w:rPr>
          <w:rFonts w:ascii="Verdana" w:eastAsia="Cambria" w:hAnsi="Verdana" w:cs="Calibri"/>
        </w:rPr>
        <w:t xml:space="preserve"> tistih, ki so </w:t>
      </w:r>
      <w:r w:rsidR="00674752">
        <w:rPr>
          <w:rFonts w:ascii="Verdana" w:eastAsia="Cambria" w:hAnsi="Verdana" w:cs="Calibri"/>
        </w:rPr>
        <w:t xml:space="preserve">bili ali so </w:t>
      </w:r>
      <w:r w:rsidR="0041199F">
        <w:rPr>
          <w:rFonts w:ascii="Verdana" w:eastAsia="Cambria" w:hAnsi="Verdana" w:cs="Calibri"/>
        </w:rPr>
        <w:t>še v</w:t>
      </w:r>
      <w:r>
        <w:rPr>
          <w:rFonts w:ascii="Verdana" w:eastAsia="Cambria" w:hAnsi="Verdana" w:cs="Calibri"/>
        </w:rPr>
        <w:t xml:space="preserve"> pritožb</w:t>
      </w:r>
      <w:r w:rsidR="0041199F">
        <w:rPr>
          <w:rFonts w:ascii="Verdana" w:eastAsia="Cambria" w:hAnsi="Verdana" w:cs="Calibri"/>
        </w:rPr>
        <w:t>enem postopku</w:t>
      </w:r>
      <w:r>
        <w:rPr>
          <w:rFonts w:ascii="Verdana" w:eastAsia="Cambria" w:hAnsi="Verdana" w:cs="Calibri"/>
        </w:rPr>
        <w:t>) so končani. Zato je 78-odstotno zmanjšanje števila študijskih programov, katerim je bila akreditacija podaljšana, razumljivo.</w:t>
      </w:r>
    </w:p>
    <w:p w14:paraId="2F653E65" w14:textId="77777777" w:rsidR="003D7AF8" w:rsidRDefault="003D7AF8" w:rsidP="003D7AF8">
      <w:pPr>
        <w:pStyle w:val="Odstavekseznama"/>
        <w:spacing w:after="0" w:line="240" w:lineRule="auto"/>
        <w:jc w:val="both"/>
        <w:rPr>
          <w:rFonts w:ascii="Verdana" w:eastAsia="Cambria" w:hAnsi="Verdana" w:cs="Calibri"/>
        </w:rPr>
      </w:pPr>
    </w:p>
    <w:p w14:paraId="5A1777F7" w14:textId="3117F121" w:rsidR="003D7AF8" w:rsidRPr="001530DF" w:rsidRDefault="003D7AF8" w:rsidP="003D7AF8">
      <w:pPr>
        <w:spacing w:after="0" w:line="240" w:lineRule="auto"/>
        <w:jc w:val="both"/>
        <w:rPr>
          <w:rFonts w:ascii="Verdana" w:eastAsia="Cambria" w:hAnsi="Verdana" w:cs="Calibri"/>
          <w:u w:val="single"/>
        </w:rPr>
      </w:pPr>
      <w:r w:rsidRPr="000136B9">
        <w:rPr>
          <w:rFonts w:ascii="Verdana" w:eastAsia="Cambria" w:hAnsi="Verdana" w:cs="Calibri"/>
        </w:rPr>
        <w:t xml:space="preserve">V letu 2017 svet ni podaljšal akreditacije </w:t>
      </w:r>
      <w:r>
        <w:rPr>
          <w:rFonts w:ascii="Verdana" w:eastAsia="Cambria" w:hAnsi="Verdana" w:cs="Calibri"/>
        </w:rPr>
        <w:t xml:space="preserve">dvema </w:t>
      </w:r>
      <w:r w:rsidRPr="000136B9">
        <w:rPr>
          <w:rFonts w:ascii="Verdana" w:eastAsia="Cambria" w:hAnsi="Verdana" w:cs="Calibri"/>
        </w:rPr>
        <w:t xml:space="preserve">študijskima </w:t>
      </w:r>
      <w:r>
        <w:rPr>
          <w:rFonts w:ascii="Verdana" w:eastAsia="Cambria" w:hAnsi="Verdana" w:cs="Calibri"/>
        </w:rPr>
        <w:t>programoma</w:t>
      </w:r>
      <w:r w:rsidRPr="000136B9">
        <w:rPr>
          <w:rFonts w:ascii="Verdana" w:eastAsia="Cambria" w:hAnsi="Verdana" w:cs="Calibri"/>
        </w:rPr>
        <w:t xml:space="preserve"> in ni podelil akreditacije enemu visokošolskemu zavodu. Ena odločitev je še v postopku pritožbe. </w:t>
      </w:r>
      <w:r>
        <w:rPr>
          <w:rFonts w:ascii="Verdana" w:eastAsia="Cambria" w:hAnsi="Verdana" w:cs="Calibri"/>
        </w:rPr>
        <w:t>Število negativnih odločitev sveta je enako kot leta 2018.</w:t>
      </w:r>
    </w:p>
    <w:p w14:paraId="51621F50" w14:textId="77777777" w:rsidR="003D7AF8" w:rsidRPr="001530DF" w:rsidRDefault="003D7AF8" w:rsidP="003D7AF8">
      <w:pPr>
        <w:spacing w:line="240" w:lineRule="auto"/>
        <w:jc w:val="both"/>
        <w:rPr>
          <w:rFonts w:ascii="Verdana" w:eastAsia="Cambria" w:hAnsi="Verdana" w:cs="Times New Roman"/>
        </w:rPr>
      </w:pPr>
    </w:p>
    <w:tbl>
      <w:tblPr>
        <w:tblW w:w="4963" w:type="pct"/>
        <w:tblBorders>
          <w:top w:val="single" w:sz="2" w:space="0" w:color="993366"/>
          <w:left w:val="single" w:sz="18" w:space="0" w:color="993366"/>
          <w:bottom w:val="single" w:sz="2" w:space="0" w:color="993366"/>
          <w:right w:val="single" w:sz="18" w:space="0" w:color="993366"/>
          <w:insideH w:val="single" w:sz="6" w:space="0" w:color="993366"/>
          <w:insideV w:val="single" w:sz="6" w:space="0" w:color="993366"/>
        </w:tblBorders>
        <w:tblLook w:val="04A0" w:firstRow="1" w:lastRow="0" w:firstColumn="1" w:lastColumn="0" w:noHBand="0" w:noVBand="1"/>
      </w:tblPr>
      <w:tblGrid>
        <w:gridCol w:w="4683"/>
        <w:gridCol w:w="5205"/>
      </w:tblGrid>
      <w:tr w:rsidR="003D7AF8" w:rsidRPr="001530DF" w14:paraId="6918D31A" w14:textId="77777777" w:rsidTr="00E07F6C">
        <w:tc>
          <w:tcPr>
            <w:tcW w:w="5000" w:type="pct"/>
            <w:gridSpan w:val="2"/>
            <w:tcBorders>
              <w:top w:val="single" w:sz="2" w:space="0" w:color="993366"/>
              <w:left w:val="single" w:sz="18" w:space="0" w:color="993366"/>
              <w:bottom w:val="single" w:sz="6" w:space="0" w:color="993366"/>
              <w:right w:val="single" w:sz="18" w:space="0" w:color="993366"/>
            </w:tcBorders>
            <w:shd w:val="clear" w:color="auto" w:fill="E5B8B7"/>
          </w:tcPr>
          <w:p w14:paraId="3C581F12" w14:textId="77777777" w:rsidR="003D7AF8" w:rsidRPr="001530DF" w:rsidRDefault="003D7AF8" w:rsidP="000C6F9E">
            <w:pPr>
              <w:spacing w:after="0" w:line="240" w:lineRule="auto"/>
              <w:rPr>
                <w:rFonts w:ascii="Verdana" w:eastAsia="Cambria" w:hAnsi="Verdana" w:cs="Times New Roman"/>
                <w:b/>
                <w:sz w:val="18"/>
                <w:szCs w:val="18"/>
              </w:rPr>
            </w:pPr>
          </w:p>
          <w:p w14:paraId="1BACDBAB" w14:textId="77777777" w:rsidR="003D7AF8" w:rsidRPr="001530DF" w:rsidRDefault="003D7AF8" w:rsidP="000C6F9E">
            <w:pPr>
              <w:spacing w:after="0" w:line="240" w:lineRule="auto"/>
              <w:rPr>
                <w:rFonts w:ascii="Verdana" w:eastAsia="Cambria" w:hAnsi="Verdana" w:cs="Times New Roman"/>
                <w:b/>
                <w:sz w:val="18"/>
                <w:szCs w:val="18"/>
              </w:rPr>
            </w:pPr>
            <w:r w:rsidRPr="001530DF">
              <w:rPr>
                <w:rFonts w:ascii="Verdana" w:eastAsia="Cambria" w:hAnsi="Verdana" w:cs="Times New Roman"/>
                <w:b/>
                <w:sz w:val="18"/>
                <w:szCs w:val="18"/>
              </w:rPr>
              <w:t xml:space="preserve">Preglednica </w:t>
            </w:r>
            <w:r>
              <w:rPr>
                <w:rFonts w:ascii="Verdana" w:eastAsia="Cambria" w:hAnsi="Verdana" w:cs="Times New Roman"/>
                <w:b/>
                <w:sz w:val="18"/>
                <w:szCs w:val="18"/>
              </w:rPr>
              <w:t>4</w:t>
            </w:r>
            <w:r w:rsidRPr="001530DF">
              <w:rPr>
                <w:rFonts w:ascii="Verdana" w:eastAsia="Cambria" w:hAnsi="Verdana" w:cs="Times New Roman"/>
                <w:b/>
                <w:sz w:val="18"/>
                <w:szCs w:val="18"/>
              </w:rPr>
              <w:t xml:space="preserve">: POVPREČNO TRAJANJE POSTOPKOV </w:t>
            </w:r>
            <w:r>
              <w:rPr>
                <w:rFonts w:ascii="Verdana" w:eastAsia="Cambria" w:hAnsi="Verdana" w:cs="Times New Roman"/>
                <w:b/>
                <w:sz w:val="18"/>
                <w:szCs w:val="18"/>
              </w:rPr>
              <w:t>ZA VLOGE, O KATERIH JE BILO ODLOČENO V LETIH 2016, 2017 in 2018</w:t>
            </w:r>
            <w:r w:rsidRPr="001530DF">
              <w:rPr>
                <w:rFonts w:ascii="Verdana" w:eastAsia="Cambria" w:hAnsi="Verdana" w:cs="Times New Roman"/>
                <w:b/>
                <w:sz w:val="18"/>
                <w:szCs w:val="18"/>
              </w:rPr>
              <w:t xml:space="preserve"> </w:t>
            </w:r>
          </w:p>
          <w:p w14:paraId="5173F8B3" w14:textId="77777777" w:rsidR="003D7AF8" w:rsidRPr="001530DF" w:rsidRDefault="003D7AF8" w:rsidP="000C6F9E">
            <w:pPr>
              <w:spacing w:after="0" w:line="240" w:lineRule="auto"/>
              <w:rPr>
                <w:rFonts w:ascii="Verdana" w:eastAsia="Cambria" w:hAnsi="Verdana" w:cs="Times New Roman"/>
                <w:b/>
                <w:sz w:val="18"/>
                <w:szCs w:val="18"/>
              </w:rPr>
            </w:pPr>
          </w:p>
        </w:tc>
      </w:tr>
      <w:tr w:rsidR="003D7AF8" w:rsidRPr="001530DF" w14:paraId="33839C68" w14:textId="77777777" w:rsidTr="00E07F6C">
        <w:tc>
          <w:tcPr>
            <w:tcW w:w="5000" w:type="pct"/>
            <w:gridSpan w:val="2"/>
            <w:tcBorders>
              <w:top w:val="single" w:sz="2" w:space="0" w:color="993366"/>
              <w:left w:val="single" w:sz="18" w:space="0" w:color="993366"/>
              <w:bottom w:val="single" w:sz="6" w:space="0" w:color="993366"/>
              <w:right w:val="single" w:sz="18" w:space="0" w:color="993366"/>
            </w:tcBorders>
            <w:shd w:val="clear" w:color="auto" w:fill="D6E3BC"/>
          </w:tcPr>
          <w:p w14:paraId="786771BF" w14:textId="77777777" w:rsidR="003D7AF8" w:rsidRPr="001530DF" w:rsidRDefault="003D7AF8" w:rsidP="000C6F9E">
            <w:pPr>
              <w:spacing w:after="0" w:line="240" w:lineRule="auto"/>
              <w:rPr>
                <w:rFonts w:ascii="Verdana" w:eastAsia="Cambria" w:hAnsi="Verdana" w:cs="Times New Roman"/>
                <w:b/>
                <w:sz w:val="18"/>
                <w:szCs w:val="18"/>
              </w:rPr>
            </w:pPr>
            <w:r>
              <w:rPr>
                <w:rFonts w:ascii="Verdana" w:eastAsia="Cambria" w:hAnsi="Verdana" w:cs="Times New Roman"/>
                <w:b/>
                <w:sz w:val="18"/>
                <w:szCs w:val="18"/>
              </w:rPr>
              <w:t>PROGRAMI</w:t>
            </w:r>
            <w:r w:rsidRPr="001530DF">
              <w:rPr>
                <w:rFonts w:ascii="Verdana" w:eastAsia="Cambria" w:hAnsi="Verdana" w:cs="Times New Roman"/>
                <w:b/>
                <w:sz w:val="18"/>
                <w:szCs w:val="18"/>
              </w:rPr>
              <w:t xml:space="preserve"> </w:t>
            </w:r>
          </w:p>
        </w:tc>
      </w:tr>
      <w:tr w:rsidR="003D7AF8" w:rsidRPr="001530DF" w14:paraId="2AE511EC" w14:textId="77777777" w:rsidTr="00E07F6C">
        <w:tc>
          <w:tcPr>
            <w:tcW w:w="5000" w:type="pct"/>
            <w:gridSpan w:val="2"/>
            <w:tcBorders>
              <w:bottom w:val="single" w:sz="6" w:space="0" w:color="993366"/>
            </w:tcBorders>
            <w:shd w:val="clear" w:color="auto" w:fill="B8CCE4"/>
          </w:tcPr>
          <w:p w14:paraId="5B140A89" w14:textId="77777777" w:rsidR="003D7AF8" w:rsidRPr="001530DF" w:rsidRDefault="003D7AF8" w:rsidP="000C6F9E">
            <w:pPr>
              <w:spacing w:after="0" w:line="240" w:lineRule="auto"/>
              <w:rPr>
                <w:rFonts w:ascii="Verdana" w:eastAsia="Cambria" w:hAnsi="Verdana" w:cs="Times New Roman"/>
                <w:b/>
                <w:sz w:val="18"/>
                <w:szCs w:val="18"/>
              </w:rPr>
            </w:pPr>
            <w:r w:rsidRPr="001530DF">
              <w:rPr>
                <w:rFonts w:ascii="Verdana" w:eastAsia="Cambria" w:hAnsi="Verdana" w:cs="Times New Roman"/>
                <w:b/>
                <w:sz w:val="18"/>
                <w:szCs w:val="18"/>
              </w:rPr>
              <w:t xml:space="preserve">Prva akreditacija </w:t>
            </w:r>
          </w:p>
        </w:tc>
      </w:tr>
      <w:tr w:rsidR="003D7AF8" w:rsidRPr="001530DF" w14:paraId="56FC0460" w14:textId="77777777" w:rsidTr="00E07F6C">
        <w:tc>
          <w:tcPr>
            <w:tcW w:w="2368" w:type="pct"/>
            <w:tcBorders>
              <w:bottom w:val="single" w:sz="6" w:space="0" w:color="993366"/>
            </w:tcBorders>
            <w:shd w:val="clear" w:color="auto" w:fill="B8CCE4"/>
          </w:tcPr>
          <w:p w14:paraId="30ED50A5" w14:textId="77777777" w:rsidR="003D7AF8" w:rsidRPr="001530DF" w:rsidRDefault="003D7AF8" w:rsidP="000C6F9E">
            <w:pPr>
              <w:spacing w:after="0" w:line="240" w:lineRule="auto"/>
              <w:rPr>
                <w:rFonts w:ascii="Verdana" w:eastAsia="Cambria" w:hAnsi="Verdana" w:cs="Times New Roman"/>
                <w:b/>
                <w:sz w:val="18"/>
                <w:szCs w:val="18"/>
              </w:rPr>
            </w:pPr>
            <w:r>
              <w:rPr>
                <w:rFonts w:ascii="Verdana" w:eastAsia="Cambria" w:hAnsi="Verdana" w:cs="Times New Roman"/>
                <w:b/>
                <w:sz w:val="18"/>
                <w:szCs w:val="18"/>
              </w:rPr>
              <w:t>odločitev</w:t>
            </w:r>
            <w:r w:rsidRPr="001530DF">
              <w:rPr>
                <w:rFonts w:ascii="Verdana" w:eastAsia="Cambria" w:hAnsi="Verdana" w:cs="Times New Roman"/>
                <w:b/>
                <w:sz w:val="18"/>
                <w:szCs w:val="18"/>
              </w:rPr>
              <w:t xml:space="preserve"> v letu:</w:t>
            </w:r>
          </w:p>
        </w:tc>
        <w:tc>
          <w:tcPr>
            <w:tcW w:w="2632" w:type="pct"/>
            <w:tcBorders>
              <w:bottom w:val="single" w:sz="6" w:space="0" w:color="993366"/>
            </w:tcBorders>
            <w:shd w:val="clear" w:color="auto" w:fill="B8CCE4"/>
          </w:tcPr>
          <w:p w14:paraId="1B3B8F7A" w14:textId="77777777" w:rsidR="003D7AF8" w:rsidRPr="001530DF" w:rsidRDefault="003D7AF8" w:rsidP="000C6F9E">
            <w:pPr>
              <w:spacing w:after="0" w:line="240" w:lineRule="auto"/>
              <w:rPr>
                <w:rFonts w:ascii="Verdana" w:eastAsia="Cambria" w:hAnsi="Verdana" w:cs="Times New Roman"/>
                <w:b/>
                <w:sz w:val="18"/>
                <w:szCs w:val="18"/>
              </w:rPr>
            </w:pPr>
            <w:r w:rsidRPr="001530DF">
              <w:rPr>
                <w:rFonts w:ascii="Verdana" w:eastAsia="Cambria" w:hAnsi="Verdana" w:cs="Times New Roman"/>
                <w:b/>
                <w:sz w:val="18"/>
                <w:szCs w:val="18"/>
              </w:rPr>
              <w:t>Povprečno trajanje postopka v mesecih</w:t>
            </w:r>
            <w:r>
              <w:rPr>
                <w:rFonts w:ascii="Verdana" w:eastAsia="Cambria" w:hAnsi="Verdana" w:cs="Times New Roman"/>
                <w:b/>
                <w:sz w:val="18"/>
                <w:szCs w:val="18"/>
              </w:rPr>
              <w:t>*</w:t>
            </w:r>
          </w:p>
        </w:tc>
      </w:tr>
      <w:tr w:rsidR="003D7AF8" w:rsidRPr="001530DF" w14:paraId="73A67FFA" w14:textId="77777777" w:rsidTr="00E07F6C">
        <w:tc>
          <w:tcPr>
            <w:tcW w:w="2368" w:type="pct"/>
            <w:tcBorders>
              <w:top w:val="single" w:sz="6" w:space="0" w:color="993366"/>
              <w:bottom w:val="single" w:sz="6" w:space="0" w:color="993366"/>
            </w:tcBorders>
            <w:shd w:val="clear" w:color="auto" w:fill="auto"/>
          </w:tcPr>
          <w:p w14:paraId="1D40B48A" w14:textId="77777777" w:rsidR="003D7AF8" w:rsidRPr="001530DF" w:rsidRDefault="003D7AF8" w:rsidP="000C6F9E">
            <w:pPr>
              <w:spacing w:after="0" w:line="240" w:lineRule="auto"/>
              <w:rPr>
                <w:rFonts w:ascii="Verdana" w:eastAsia="Cambria" w:hAnsi="Verdana" w:cs="Times New Roman"/>
                <w:sz w:val="18"/>
                <w:szCs w:val="18"/>
              </w:rPr>
            </w:pPr>
            <w:r w:rsidRPr="001530DF">
              <w:rPr>
                <w:rFonts w:ascii="Verdana" w:eastAsia="Cambria" w:hAnsi="Verdana" w:cs="Times New Roman"/>
                <w:sz w:val="18"/>
                <w:szCs w:val="18"/>
              </w:rPr>
              <w:t>20</w:t>
            </w:r>
            <w:r>
              <w:rPr>
                <w:rFonts w:ascii="Verdana" w:eastAsia="Cambria" w:hAnsi="Verdana" w:cs="Times New Roman"/>
                <w:sz w:val="18"/>
                <w:szCs w:val="18"/>
              </w:rPr>
              <w:t>16</w:t>
            </w:r>
          </w:p>
        </w:tc>
        <w:tc>
          <w:tcPr>
            <w:tcW w:w="2632" w:type="pct"/>
            <w:tcBorders>
              <w:top w:val="single" w:sz="6" w:space="0" w:color="993366"/>
              <w:bottom w:val="single" w:sz="6" w:space="0" w:color="993366"/>
            </w:tcBorders>
            <w:shd w:val="clear" w:color="auto" w:fill="auto"/>
          </w:tcPr>
          <w:p w14:paraId="565AC78E" w14:textId="77777777" w:rsidR="003D7AF8" w:rsidRPr="001530DF" w:rsidRDefault="003D7AF8" w:rsidP="000C6F9E">
            <w:pPr>
              <w:spacing w:after="0" w:line="240" w:lineRule="auto"/>
              <w:rPr>
                <w:rFonts w:ascii="Verdana" w:eastAsia="Cambria" w:hAnsi="Verdana" w:cs="Times New Roman"/>
                <w:sz w:val="18"/>
                <w:szCs w:val="18"/>
              </w:rPr>
            </w:pPr>
            <w:r>
              <w:rPr>
                <w:rFonts w:ascii="Verdana" w:eastAsia="Cambria" w:hAnsi="Verdana" w:cs="Times New Roman"/>
                <w:sz w:val="18"/>
                <w:szCs w:val="18"/>
              </w:rPr>
              <w:t>17**</w:t>
            </w:r>
          </w:p>
        </w:tc>
      </w:tr>
      <w:tr w:rsidR="003D7AF8" w:rsidRPr="001530DF" w14:paraId="73CA2685" w14:textId="77777777" w:rsidTr="00E07F6C">
        <w:tc>
          <w:tcPr>
            <w:tcW w:w="2368" w:type="pct"/>
            <w:tcBorders>
              <w:top w:val="single" w:sz="6" w:space="0" w:color="993366"/>
              <w:bottom w:val="single" w:sz="6" w:space="0" w:color="993366"/>
            </w:tcBorders>
            <w:shd w:val="clear" w:color="auto" w:fill="auto"/>
          </w:tcPr>
          <w:p w14:paraId="5588A184" w14:textId="77777777" w:rsidR="003D7AF8" w:rsidRPr="001530DF" w:rsidRDefault="003D7AF8" w:rsidP="000C6F9E">
            <w:pPr>
              <w:spacing w:after="0" w:line="240" w:lineRule="auto"/>
              <w:rPr>
                <w:rFonts w:ascii="Verdana" w:eastAsia="Cambria" w:hAnsi="Verdana" w:cs="Times New Roman"/>
                <w:sz w:val="18"/>
                <w:szCs w:val="18"/>
              </w:rPr>
            </w:pPr>
            <w:r w:rsidRPr="001530DF">
              <w:rPr>
                <w:rFonts w:ascii="Verdana" w:eastAsia="Cambria" w:hAnsi="Verdana" w:cs="Times New Roman"/>
                <w:sz w:val="18"/>
                <w:szCs w:val="18"/>
              </w:rPr>
              <w:t>201</w:t>
            </w:r>
            <w:r>
              <w:rPr>
                <w:rFonts w:ascii="Verdana" w:eastAsia="Cambria" w:hAnsi="Verdana" w:cs="Times New Roman"/>
                <w:sz w:val="18"/>
                <w:szCs w:val="18"/>
              </w:rPr>
              <w:t>7</w:t>
            </w:r>
          </w:p>
        </w:tc>
        <w:tc>
          <w:tcPr>
            <w:tcW w:w="2632" w:type="pct"/>
            <w:tcBorders>
              <w:top w:val="single" w:sz="6" w:space="0" w:color="993366"/>
              <w:bottom w:val="single" w:sz="6" w:space="0" w:color="993366"/>
            </w:tcBorders>
            <w:shd w:val="clear" w:color="auto" w:fill="auto"/>
          </w:tcPr>
          <w:p w14:paraId="75A91CFE" w14:textId="77777777" w:rsidR="003D7AF8" w:rsidRPr="001530DF" w:rsidRDefault="003D7AF8" w:rsidP="000C6F9E">
            <w:pPr>
              <w:spacing w:after="0" w:line="240" w:lineRule="auto"/>
              <w:rPr>
                <w:rFonts w:ascii="Verdana" w:eastAsia="Cambria" w:hAnsi="Verdana" w:cs="Times New Roman"/>
                <w:sz w:val="18"/>
                <w:szCs w:val="18"/>
              </w:rPr>
            </w:pPr>
            <w:r>
              <w:rPr>
                <w:rFonts w:ascii="Verdana" w:eastAsia="Cambria" w:hAnsi="Verdana" w:cs="Times New Roman"/>
                <w:sz w:val="18"/>
                <w:szCs w:val="18"/>
              </w:rPr>
              <w:t>10</w:t>
            </w:r>
          </w:p>
        </w:tc>
      </w:tr>
      <w:tr w:rsidR="003D7AF8" w:rsidRPr="001530DF" w14:paraId="3F25A23A" w14:textId="77777777" w:rsidTr="00E07F6C">
        <w:tc>
          <w:tcPr>
            <w:tcW w:w="2368" w:type="pct"/>
            <w:tcBorders>
              <w:top w:val="single" w:sz="6" w:space="0" w:color="993366"/>
              <w:bottom w:val="single" w:sz="6" w:space="0" w:color="993366"/>
            </w:tcBorders>
            <w:shd w:val="clear" w:color="auto" w:fill="auto"/>
          </w:tcPr>
          <w:p w14:paraId="2D34AC09" w14:textId="77777777" w:rsidR="003D7AF8" w:rsidRPr="001530DF" w:rsidRDefault="003D7AF8" w:rsidP="000C6F9E">
            <w:pPr>
              <w:spacing w:after="0" w:line="240" w:lineRule="auto"/>
              <w:rPr>
                <w:rFonts w:ascii="Verdana" w:eastAsia="Cambria" w:hAnsi="Verdana" w:cs="Times New Roman"/>
                <w:sz w:val="18"/>
                <w:szCs w:val="18"/>
              </w:rPr>
            </w:pPr>
            <w:r w:rsidRPr="001530DF">
              <w:rPr>
                <w:rFonts w:ascii="Verdana" w:eastAsia="Cambria" w:hAnsi="Verdana" w:cs="Times New Roman"/>
                <w:sz w:val="18"/>
                <w:szCs w:val="18"/>
              </w:rPr>
              <w:t>201</w:t>
            </w:r>
            <w:r>
              <w:rPr>
                <w:rFonts w:ascii="Verdana" w:eastAsia="Cambria" w:hAnsi="Verdana" w:cs="Times New Roman"/>
                <w:sz w:val="18"/>
                <w:szCs w:val="18"/>
              </w:rPr>
              <w:t>8</w:t>
            </w:r>
          </w:p>
        </w:tc>
        <w:tc>
          <w:tcPr>
            <w:tcW w:w="2632" w:type="pct"/>
            <w:tcBorders>
              <w:top w:val="single" w:sz="6" w:space="0" w:color="993366"/>
              <w:bottom w:val="single" w:sz="6" w:space="0" w:color="993366"/>
            </w:tcBorders>
            <w:shd w:val="clear" w:color="auto" w:fill="auto"/>
          </w:tcPr>
          <w:p w14:paraId="58B8A884" w14:textId="77777777" w:rsidR="003D7AF8" w:rsidRPr="001530DF" w:rsidRDefault="003D7AF8" w:rsidP="000C6F9E">
            <w:pPr>
              <w:spacing w:after="0" w:line="240" w:lineRule="auto"/>
              <w:rPr>
                <w:rFonts w:ascii="Verdana" w:eastAsia="Cambria" w:hAnsi="Verdana" w:cs="Times New Roman"/>
                <w:sz w:val="18"/>
                <w:szCs w:val="18"/>
              </w:rPr>
            </w:pPr>
            <w:r>
              <w:rPr>
                <w:rFonts w:ascii="Verdana" w:eastAsia="Cambria" w:hAnsi="Verdana" w:cs="Times New Roman"/>
                <w:sz w:val="18"/>
                <w:szCs w:val="18"/>
              </w:rPr>
              <w:t>13 (21 po starih merilih, po novih merilih pa 8,5: povprečje 13))</w:t>
            </w:r>
          </w:p>
        </w:tc>
      </w:tr>
      <w:tr w:rsidR="003D7AF8" w:rsidRPr="001530DF" w14:paraId="5C6EF54D" w14:textId="77777777" w:rsidTr="00E07F6C">
        <w:tc>
          <w:tcPr>
            <w:tcW w:w="5000" w:type="pct"/>
            <w:gridSpan w:val="2"/>
            <w:tcBorders>
              <w:top w:val="single" w:sz="6" w:space="0" w:color="993366"/>
              <w:bottom w:val="single" w:sz="6" w:space="0" w:color="993366"/>
            </w:tcBorders>
            <w:shd w:val="clear" w:color="auto" w:fill="B8CCE4"/>
          </w:tcPr>
          <w:p w14:paraId="21CD4F7B" w14:textId="77777777" w:rsidR="003D7AF8" w:rsidRPr="001530DF" w:rsidRDefault="003D7AF8" w:rsidP="000C6F9E">
            <w:pPr>
              <w:spacing w:after="0" w:line="240" w:lineRule="auto"/>
              <w:rPr>
                <w:rFonts w:ascii="Verdana" w:eastAsia="Cambria" w:hAnsi="Verdana" w:cs="Times New Roman"/>
                <w:b/>
                <w:sz w:val="18"/>
                <w:szCs w:val="18"/>
              </w:rPr>
            </w:pPr>
            <w:r w:rsidRPr="001530DF">
              <w:rPr>
                <w:rFonts w:ascii="Verdana" w:eastAsia="Cambria" w:hAnsi="Verdana" w:cs="Times New Roman"/>
                <w:b/>
                <w:sz w:val="18"/>
                <w:szCs w:val="18"/>
              </w:rPr>
              <w:lastRenderedPageBreak/>
              <w:t>Podaljšanje akreditacije</w:t>
            </w:r>
          </w:p>
        </w:tc>
      </w:tr>
      <w:tr w:rsidR="003D7AF8" w:rsidRPr="001530DF" w14:paraId="5E8CD463" w14:textId="77777777" w:rsidTr="00E07F6C">
        <w:tc>
          <w:tcPr>
            <w:tcW w:w="2368" w:type="pct"/>
            <w:tcBorders>
              <w:top w:val="single" w:sz="6" w:space="0" w:color="993366"/>
              <w:bottom w:val="single" w:sz="6" w:space="0" w:color="993366"/>
            </w:tcBorders>
            <w:shd w:val="clear" w:color="auto" w:fill="B8CCE4"/>
          </w:tcPr>
          <w:p w14:paraId="27C58016" w14:textId="77777777" w:rsidR="003D7AF8" w:rsidRPr="001530DF" w:rsidRDefault="003D7AF8" w:rsidP="000C6F9E">
            <w:pPr>
              <w:spacing w:after="0" w:line="240" w:lineRule="auto"/>
              <w:rPr>
                <w:rFonts w:ascii="Verdana" w:eastAsia="Cambria" w:hAnsi="Verdana" w:cs="Times New Roman"/>
                <w:b/>
                <w:sz w:val="18"/>
                <w:szCs w:val="18"/>
              </w:rPr>
            </w:pPr>
            <w:r>
              <w:rPr>
                <w:rFonts w:ascii="Verdana" w:eastAsia="Cambria" w:hAnsi="Verdana" w:cs="Times New Roman"/>
                <w:b/>
                <w:sz w:val="18"/>
                <w:szCs w:val="18"/>
              </w:rPr>
              <w:t>odločitev</w:t>
            </w:r>
            <w:r w:rsidRPr="001530DF">
              <w:rPr>
                <w:rFonts w:ascii="Verdana" w:eastAsia="Cambria" w:hAnsi="Verdana" w:cs="Times New Roman"/>
                <w:b/>
                <w:sz w:val="18"/>
                <w:szCs w:val="18"/>
              </w:rPr>
              <w:t xml:space="preserve"> v letu:</w:t>
            </w:r>
          </w:p>
        </w:tc>
        <w:tc>
          <w:tcPr>
            <w:tcW w:w="2632" w:type="pct"/>
            <w:tcBorders>
              <w:top w:val="single" w:sz="6" w:space="0" w:color="993366"/>
              <w:bottom w:val="single" w:sz="6" w:space="0" w:color="993366"/>
            </w:tcBorders>
            <w:shd w:val="clear" w:color="auto" w:fill="B8CCE4"/>
          </w:tcPr>
          <w:p w14:paraId="5ECFA228" w14:textId="77777777" w:rsidR="003D7AF8" w:rsidRPr="001530DF" w:rsidRDefault="003D7AF8" w:rsidP="000C6F9E">
            <w:pPr>
              <w:spacing w:after="0" w:line="240" w:lineRule="auto"/>
              <w:rPr>
                <w:rFonts w:ascii="Verdana" w:eastAsia="Cambria" w:hAnsi="Verdana" w:cs="Times New Roman"/>
                <w:b/>
                <w:sz w:val="18"/>
                <w:szCs w:val="18"/>
              </w:rPr>
            </w:pPr>
            <w:r w:rsidRPr="001530DF">
              <w:rPr>
                <w:rFonts w:ascii="Verdana" w:eastAsia="Cambria" w:hAnsi="Verdana" w:cs="Times New Roman"/>
                <w:b/>
                <w:sz w:val="18"/>
                <w:szCs w:val="18"/>
              </w:rPr>
              <w:t>Povprečno trajanje postopka v mesecih</w:t>
            </w:r>
            <w:r>
              <w:rPr>
                <w:rFonts w:ascii="Verdana" w:eastAsia="Cambria" w:hAnsi="Verdana" w:cs="Times New Roman"/>
                <w:b/>
                <w:sz w:val="18"/>
                <w:szCs w:val="18"/>
              </w:rPr>
              <w:t>*</w:t>
            </w:r>
          </w:p>
        </w:tc>
      </w:tr>
      <w:tr w:rsidR="003D7AF8" w:rsidRPr="001530DF" w14:paraId="6BEA2B82" w14:textId="77777777" w:rsidTr="00E07F6C">
        <w:tc>
          <w:tcPr>
            <w:tcW w:w="2368" w:type="pct"/>
            <w:tcBorders>
              <w:top w:val="single" w:sz="6" w:space="0" w:color="993366"/>
              <w:bottom w:val="single" w:sz="6" w:space="0" w:color="993366"/>
            </w:tcBorders>
            <w:shd w:val="clear" w:color="auto" w:fill="auto"/>
          </w:tcPr>
          <w:p w14:paraId="5BBCBD78" w14:textId="77777777" w:rsidR="003D7AF8" w:rsidRPr="001530DF" w:rsidRDefault="003D7AF8" w:rsidP="000C6F9E">
            <w:pPr>
              <w:spacing w:after="0" w:line="240" w:lineRule="auto"/>
              <w:rPr>
                <w:rFonts w:ascii="Verdana" w:eastAsia="Cambria" w:hAnsi="Verdana" w:cs="Times New Roman"/>
                <w:sz w:val="18"/>
                <w:szCs w:val="18"/>
              </w:rPr>
            </w:pPr>
            <w:r w:rsidRPr="001530DF">
              <w:rPr>
                <w:rFonts w:ascii="Verdana" w:eastAsia="Cambria" w:hAnsi="Verdana" w:cs="Times New Roman"/>
                <w:sz w:val="18"/>
                <w:szCs w:val="18"/>
              </w:rPr>
              <w:t>201</w:t>
            </w:r>
            <w:r>
              <w:rPr>
                <w:rFonts w:ascii="Verdana" w:eastAsia="Cambria" w:hAnsi="Verdana" w:cs="Times New Roman"/>
                <w:sz w:val="18"/>
                <w:szCs w:val="18"/>
              </w:rPr>
              <w:t>6</w:t>
            </w:r>
          </w:p>
        </w:tc>
        <w:tc>
          <w:tcPr>
            <w:tcW w:w="2632" w:type="pct"/>
            <w:tcBorders>
              <w:top w:val="single" w:sz="6" w:space="0" w:color="993366"/>
              <w:bottom w:val="single" w:sz="6" w:space="0" w:color="993366"/>
            </w:tcBorders>
            <w:shd w:val="clear" w:color="auto" w:fill="auto"/>
          </w:tcPr>
          <w:p w14:paraId="72BD86D2" w14:textId="77777777" w:rsidR="003D7AF8" w:rsidRPr="001530DF" w:rsidRDefault="003D7AF8" w:rsidP="000C6F9E">
            <w:pPr>
              <w:spacing w:after="0" w:line="240" w:lineRule="auto"/>
              <w:rPr>
                <w:rFonts w:ascii="Verdana" w:eastAsia="Cambria" w:hAnsi="Verdana" w:cs="Times New Roman"/>
                <w:sz w:val="18"/>
                <w:szCs w:val="18"/>
              </w:rPr>
            </w:pPr>
            <w:r>
              <w:rPr>
                <w:rFonts w:ascii="Verdana" w:eastAsia="Cambria" w:hAnsi="Verdana" w:cs="Times New Roman"/>
                <w:sz w:val="18"/>
                <w:szCs w:val="18"/>
              </w:rPr>
              <w:t>14</w:t>
            </w:r>
          </w:p>
        </w:tc>
      </w:tr>
      <w:tr w:rsidR="003D7AF8" w:rsidRPr="001530DF" w14:paraId="3B351D4D" w14:textId="77777777" w:rsidTr="00E07F6C">
        <w:tc>
          <w:tcPr>
            <w:tcW w:w="2368" w:type="pct"/>
            <w:tcBorders>
              <w:top w:val="single" w:sz="6" w:space="0" w:color="993366"/>
              <w:bottom w:val="single" w:sz="6" w:space="0" w:color="993366"/>
            </w:tcBorders>
            <w:shd w:val="clear" w:color="auto" w:fill="auto"/>
          </w:tcPr>
          <w:p w14:paraId="119418EF" w14:textId="77777777" w:rsidR="003D7AF8" w:rsidRPr="001530DF" w:rsidRDefault="003D7AF8" w:rsidP="000C6F9E">
            <w:pPr>
              <w:spacing w:after="0" w:line="240" w:lineRule="auto"/>
              <w:rPr>
                <w:rFonts w:ascii="Verdana" w:eastAsia="Cambria" w:hAnsi="Verdana" w:cs="Times New Roman"/>
                <w:sz w:val="18"/>
                <w:szCs w:val="18"/>
              </w:rPr>
            </w:pPr>
            <w:r w:rsidRPr="001530DF">
              <w:rPr>
                <w:rFonts w:ascii="Verdana" w:eastAsia="Cambria" w:hAnsi="Verdana" w:cs="Times New Roman"/>
                <w:sz w:val="18"/>
                <w:szCs w:val="18"/>
              </w:rPr>
              <w:t>201</w:t>
            </w:r>
            <w:r>
              <w:rPr>
                <w:rFonts w:ascii="Verdana" w:eastAsia="Cambria" w:hAnsi="Verdana" w:cs="Times New Roman"/>
                <w:sz w:val="18"/>
                <w:szCs w:val="18"/>
              </w:rPr>
              <w:t>7</w:t>
            </w:r>
          </w:p>
        </w:tc>
        <w:tc>
          <w:tcPr>
            <w:tcW w:w="2632" w:type="pct"/>
            <w:tcBorders>
              <w:top w:val="single" w:sz="6" w:space="0" w:color="993366"/>
              <w:bottom w:val="single" w:sz="6" w:space="0" w:color="993366"/>
            </w:tcBorders>
            <w:shd w:val="clear" w:color="auto" w:fill="auto"/>
          </w:tcPr>
          <w:p w14:paraId="798D424B" w14:textId="77777777" w:rsidR="003D7AF8" w:rsidRPr="001530DF" w:rsidRDefault="003D7AF8" w:rsidP="000C6F9E">
            <w:pPr>
              <w:spacing w:after="0" w:line="240" w:lineRule="auto"/>
              <w:rPr>
                <w:rFonts w:ascii="Verdana" w:eastAsia="Cambria" w:hAnsi="Verdana" w:cs="Times New Roman"/>
                <w:sz w:val="18"/>
                <w:szCs w:val="18"/>
              </w:rPr>
            </w:pPr>
            <w:r>
              <w:rPr>
                <w:rFonts w:ascii="Verdana" w:eastAsia="Cambria" w:hAnsi="Verdana" w:cs="Times New Roman"/>
                <w:sz w:val="18"/>
                <w:szCs w:val="18"/>
              </w:rPr>
              <w:t>16,5</w:t>
            </w:r>
          </w:p>
        </w:tc>
      </w:tr>
      <w:tr w:rsidR="003D7AF8" w:rsidRPr="001530DF" w14:paraId="06D5A604" w14:textId="77777777" w:rsidTr="00E07F6C">
        <w:tc>
          <w:tcPr>
            <w:tcW w:w="2368" w:type="pct"/>
            <w:tcBorders>
              <w:top w:val="single" w:sz="6" w:space="0" w:color="993366"/>
              <w:bottom w:val="single" w:sz="2" w:space="0" w:color="993366"/>
            </w:tcBorders>
            <w:shd w:val="clear" w:color="auto" w:fill="auto"/>
          </w:tcPr>
          <w:p w14:paraId="7FB1D5BB" w14:textId="77777777" w:rsidR="003D7AF8" w:rsidRPr="001530DF" w:rsidRDefault="003D7AF8" w:rsidP="000C6F9E">
            <w:pPr>
              <w:spacing w:after="0" w:line="240" w:lineRule="auto"/>
              <w:rPr>
                <w:rFonts w:ascii="Verdana" w:eastAsia="Cambria" w:hAnsi="Verdana" w:cs="Times New Roman"/>
                <w:sz w:val="18"/>
                <w:szCs w:val="18"/>
              </w:rPr>
            </w:pPr>
            <w:r>
              <w:rPr>
                <w:rFonts w:ascii="Verdana" w:eastAsia="Cambria" w:hAnsi="Verdana" w:cs="Times New Roman"/>
                <w:sz w:val="18"/>
                <w:szCs w:val="18"/>
              </w:rPr>
              <w:t>2018</w:t>
            </w:r>
          </w:p>
        </w:tc>
        <w:tc>
          <w:tcPr>
            <w:tcW w:w="2632" w:type="pct"/>
            <w:tcBorders>
              <w:top w:val="single" w:sz="6" w:space="0" w:color="993366"/>
              <w:bottom w:val="single" w:sz="2" w:space="0" w:color="993366"/>
            </w:tcBorders>
            <w:shd w:val="clear" w:color="auto" w:fill="auto"/>
          </w:tcPr>
          <w:p w14:paraId="64616111" w14:textId="77777777" w:rsidR="003D7AF8" w:rsidRPr="001530DF" w:rsidRDefault="003D7AF8" w:rsidP="000C6F9E">
            <w:pPr>
              <w:spacing w:after="0" w:line="240" w:lineRule="auto"/>
              <w:rPr>
                <w:rFonts w:ascii="Verdana" w:eastAsia="Cambria" w:hAnsi="Verdana" w:cs="Times New Roman"/>
                <w:sz w:val="18"/>
                <w:szCs w:val="18"/>
              </w:rPr>
            </w:pPr>
            <w:r>
              <w:rPr>
                <w:rFonts w:ascii="Verdana" w:eastAsia="Cambria" w:hAnsi="Verdana" w:cs="Times New Roman"/>
                <w:sz w:val="18"/>
                <w:szCs w:val="18"/>
              </w:rPr>
              <w:t>26</w:t>
            </w:r>
          </w:p>
        </w:tc>
      </w:tr>
      <w:tr w:rsidR="003D7AF8" w:rsidRPr="001530DF" w14:paraId="5BE80AA4" w14:textId="77777777" w:rsidTr="00E07F6C">
        <w:tc>
          <w:tcPr>
            <w:tcW w:w="5000" w:type="pct"/>
            <w:gridSpan w:val="2"/>
            <w:tcBorders>
              <w:top w:val="single" w:sz="2" w:space="0" w:color="993366"/>
              <w:left w:val="single" w:sz="18" w:space="0" w:color="993366"/>
              <w:bottom w:val="single" w:sz="6" w:space="0" w:color="993366"/>
              <w:right w:val="single" w:sz="18" w:space="0" w:color="993366"/>
            </w:tcBorders>
            <w:shd w:val="clear" w:color="auto" w:fill="D6E3BC"/>
          </w:tcPr>
          <w:p w14:paraId="4D4E9CF4" w14:textId="77777777" w:rsidR="003D7AF8" w:rsidRPr="001530DF" w:rsidRDefault="003D7AF8" w:rsidP="000C6F9E">
            <w:pPr>
              <w:spacing w:after="0" w:line="240" w:lineRule="auto"/>
              <w:rPr>
                <w:rFonts w:ascii="Verdana" w:eastAsia="Cambria" w:hAnsi="Verdana" w:cs="Times New Roman"/>
                <w:b/>
                <w:sz w:val="18"/>
                <w:szCs w:val="18"/>
              </w:rPr>
            </w:pPr>
            <w:r>
              <w:rPr>
                <w:rFonts w:ascii="Verdana" w:eastAsia="Cambria" w:hAnsi="Verdana" w:cs="Times New Roman"/>
                <w:b/>
                <w:sz w:val="18"/>
                <w:szCs w:val="18"/>
              </w:rPr>
              <w:t>ZAVODI</w:t>
            </w:r>
            <w:r w:rsidRPr="001530DF">
              <w:rPr>
                <w:rFonts w:ascii="Verdana" w:eastAsia="Cambria" w:hAnsi="Verdana" w:cs="Times New Roman"/>
                <w:b/>
                <w:sz w:val="18"/>
                <w:szCs w:val="18"/>
              </w:rPr>
              <w:t xml:space="preserve"> </w:t>
            </w:r>
          </w:p>
        </w:tc>
      </w:tr>
      <w:tr w:rsidR="003D7AF8" w:rsidRPr="001530DF" w14:paraId="74F6A7B8" w14:textId="77777777" w:rsidTr="00E07F6C">
        <w:tc>
          <w:tcPr>
            <w:tcW w:w="5000" w:type="pct"/>
            <w:gridSpan w:val="2"/>
            <w:tcBorders>
              <w:bottom w:val="single" w:sz="6" w:space="0" w:color="993366"/>
            </w:tcBorders>
            <w:shd w:val="clear" w:color="auto" w:fill="B8CCE4"/>
          </w:tcPr>
          <w:p w14:paraId="6FED12C9" w14:textId="77777777" w:rsidR="003D7AF8" w:rsidRPr="001530DF" w:rsidRDefault="003D7AF8" w:rsidP="000C6F9E">
            <w:pPr>
              <w:spacing w:after="0" w:line="240" w:lineRule="auto"/>
              <w:rPr>
                <w:rFonts w:ascii="Verdana" w:eastAsia="Cambria" w:hAnsi="Verdana" w:cs="Times New Roman"/>
                <w:b/>
                <w:sz w:val="18"/>
                <w:szCs w:val="18"/>
              </w:rPr>
            </w:pPr>
            <w:r w:rsidRPr="001530DF">
              <w:rPr>
                <w:rFonts w:ascii="Verdana" w:eastAsia="Cambria" w:hAnsi="Verdana" w:cs="Times New Roman"/>
                <w:b/>
                <w:sz w:val="18"/>
                <w:szCs w:val="18"/>
              </w:rPr>
              <w:t xml:space="preserve">Prva akreditacija </w:t>
            </w:r>
            <w:r>
              <w:rPr>
                <w:rFonts w:ascii="Verdana" w:eastAsia="Cambria" w:hAnsi="Verdana" w:cs="Times New Roman"/>
                <w:b/>
                <w:sz w:val="18"/>
                <w:szCs w:val="18"/>
              </w:rPr>
              <w:t>(samo ena vloga)</w:t>
            </w:r>
          </w:p>
        </w:tc>
      </w:tr>
      <w:tr w:rsidR="003D7AF8" w:rsidRPr="001530DF" w14:paraId="2581176C" w14:textId="77777777" w:rsidTr="00E07F6C">
        <w:tc>
          <w:tcPr>
            <w:tcW w:w="2368" w:type="pct"/>
            <w:tcBorders>
              <w:bottom w:val="single" w:sz="6" w:space="0" w:color="993366"/>
            </w:tcBorders>
            <w:shd w:val="clear" w:color="auto" w:fill="B8CCE4"/>
          </w:tcPr>
          <w:p w14:paraId="358D440B" w14:textId="77777777" w:rsidR="003D7AF8" w:rsidRPr="001530DF" w:rsidRDefault="003D7AF8" w:rsidP="000C6F9E">
            <w:pPr>
              <w:spacing w:after="0" w:line="240" w:lineRule="auto"/>
              <w:rPr>
                <w:rFonts w:ascii="Verdana" w:eastAsia="Cambria" w:hAnsi="Verdana" w:cs="Times New Roman"/>
                <w:b/>
                <w:sz w:val="18"/>
                <w:szCs w:val="18"/>
              </w:rPr>
            </w:pPr>
            <w:r>
              <w:rPr>
                <w:rFonts w:ascii="Verdana" w:eastAsia="Cambria" w:hAnsi="Verdana" w:cs="Times New Roman"/>
                <w:b/>
                <w:sz w:val="18"/>
                <w:szCs w:val="18"/>
              </w:rPr>
              <w:t>odločitev</w:t>
            </w:r>
            <w:r w:rsidRPr="001530DF">
              <w:rPr>
                <w:rFonts w:ascii="Verdana" w:eastAsia="Cambria" w:hAnsi="Verdana" w:cs="Times New Roman"/>
                <w:b/>
                <w:sz w:val="18"/>
                <w:szCs w:val="18"/>
              </w:rPr>
              <w:t xml:space="preserve"> v letu:</w:t>
            </w:r>
          </w:p>
        </w:tc>
        <w:tc>
          <w:tcPr>
            <w:tcW w:w="2632" w:type="pct"/>
            <w:tcBorders>
              <w:bottom w:val="single" w:sz="6" w:space="0" w:color="993366"/>
            </w:tcBorders>
            <w:shd w:val="clear" w:color="auto" w:fill="B8CCE4"/>
          </w:tcPr>
          <w:p w14:paraId="077819C4" w14:textId="77777777" w:rsidR="003D7AF8" w:rsidRPr="001530DF" w:rsidRDefault="003D7AF8" w:rsidP="000C6F9E">
            <w:pPr>
              <w:spacing w:after="0" w:line="240" w:lineRule="auto"/>
              <w:rPr>
                <w:rFonts w:ascii="Verdana" w:eastAsia="Cambria" w:hAnsi="Verdana" w:cs="Times New Roman"/>
                <w:b/>
                <w:sz w:val="18"/>
                <w:szCs w:val="18"/>
              </w:rPr>
            </w:pPr>
            <w:r w:rsidRPr="001530DF">
              <w:rPr>
                <w:rFonts w:ascii="Verdana" w:eastAsia="Cambria" w:hAnsi="Verdana" w:cs="Times New Roman"/>
                <w:b/>
                <w:sz w:val="18"/>
                <w:szCs w:val="18"/>
              </w:rPr>
              <w:t>Povprečno trajanje postopka v mesecih</w:t>
            </w:r>
            <w:r>
              <w:rPr>
                <w:rFonts w:ascii="Verdana" w:eastAsia="Cambria" w:hAnsi="Verdana" w:cs="Times New Roman"/>
                <w:b/>
                <w:sz w:val="18"/>
                <w:szCs w:val="18"/>
              </w:rPr>
              <w:t>*</w:t>
            </w:r>
          </w:p>
        </w:tc>
      </w:tr>
      <w:tr w:rsidR="003D7AF8" w:rsidRPr="001530DF" w14:paraId="096CF600" w14:textId="77777777" w:rsidTr="00E07F6C">
        <w:tc>
          <w:tcPr>
            <w:tcW w:w="2368" w:type="pct"/>
            <w:tcBorders>
              <w:top w:val="single" w:sz="6" w:space="0" w:color="993366"/>
              <w:bottom w:val="single" w:sz="6" w:space="0" w:color="993366"/>
            </w:tcBorders>
            <w:shd w:val="clear" w:color="auto" w:fill="auto"/>
          </w:tcPr>
          <w:p w14:paraId="646C4BF2" w14:textId="77777777" w:rsidR="003D7AF8" w:rsidRPr="001530DF" w:rsidRDefault="003D7AF8" w:rsidP="000C6F9E">
            <w:pPr>
              <w:spacing w:after="0" w:line="240" w:lineRule="auto"/>
              <w:rPr>
                <w:rFonts w:ascii="Verdana" w:eastAsia="Cambria" w:hAnsi="Verdana" w:cs="Times New Roman"/>
                <w:sz w:val="18"/>
                <w:szCs w:val="18"/>
              </w:rPr>
            </w:pPr>
            <w:r w:rsidRPr="001530DF">
              <w:rPr>
                <w:rFonts w:ascii="Verdana" w:eastAsia="Cambria" w:hAnsi="Verdana" w:cs="Times New Roman"/>
                <w:sz w:val="18"/>
                <w:szCs w:val="18"/>
              </w:rPr>
              <w:t>20</w:t>
            </w:r>
            <w:r>
              <w:rPr>
                <w:rFonts w:ascii="Verdana" w:eastAsia="Cambria" w:hAnsi="Verdana" w:cs="Times New Roman"/>
                <w:sz w:val="18"/>
                <w:szCs w:val="18"/>
              </w:rPr>
              <w:t>16</w:t>
            </w:r>
          </w:p>
        </w:tc>
        <w:tc>
          <w:tcPr>
            <w:tcW w:w="2632" w:type="pct"/>
            <w:tcBorders>
              <w:top w:val="single" w:sz="6" w:space="0" w:color="993366"/>
              <w:bottom w:val="single" w:sz="6" w:space="0" w:color="993366"/>
            </w:tcBorders>
            <w:shd w:val="clear" w:color="auto" w:fill="auto"/>
          </w:tcPr>
          <w:p w14:paraId="29AA6838" w14:textId="77777777" w:rsidR="003D7AF8" w:rsidRPr="001530DF" w:rsidRDefault="003D7AF8" w:rsidP="000C6F9E">
            <w:pPr>
              <w:spacing w:after="0" w:line="240" w:lineRule="auto"/>
              <w:rPr>
                <w:rFonts w:ascii="Verdana" w:eastAsia="Cambria" w:hAnsi="Verdana" w:cs="Times New Roman"/>
                <w:sz w:val="18"/>
                <w:szCs w:val="18"/>
              </w:rPr>
            </w:pPr>
            <w:r>
              <w:rPr>
                <w:rFonts w:ascii="Verdana" w:eastAsia="Cambria" w:hAnsi="Verdana" w:cs="Times New Roman"/>
                <w:sz w:val="18"/>
                <w:szCs w:val="18"/>
              </w:rPr>
              <w:t>0</w:t>
            </w:r>
          </w:p>
        </w:tc>
      </w:tr>
      <w:tr w:rsidR="003D7AF8" w:rsidRPr="001530DF" w14:paraId="367C66B9" w14:textId="77777777" w:rsidTr="00E07F6C">
        <w:tc>
          <w:tcPr>
            <w:tcW w:w="2368" w:type="pct"/>
            <w:tcBorders>
              <w:top w:val="single" w:sz="6" w:space="0" w:color="993366"/>
              <w:bottom w:val="single" w:sz="6" w:space="0" w:color="993366"/>
            </w:tcBorders>
            <w:shd w:val="clear" w:color="auto" w:fill="auto"/>
          </w:tcPr>
          <w:p w14:paraId="342626AE" w14:textId="77777777" w:rsidR="003D7AF8" w:rsidRPr="001530DF" w:rsidRDefault="003D7AF8" w:rsidP="000C6F9E">
            <w:pPr>
              <w:spacing w:after="0" w:line="240" w:lineRule="auto"/>
              <w:rPr>
                <w:rFonts w:ascii="Verdana" w:eastAsia="Cambria" w:hAnsi="Verdana" w:cs="Times New Roman"/>
                <w:sz w:val="18"/>
                <w:szCs w:val="18"/>
              </w:rPr>
            </w:pPr>
            <w:r w:rsidRPr="001530DF">
              <w:rPr>
                <w:rFonts w:ascii="Verdana" w:eastAsia="Cambria" w:hAnsi="Verdana" w:cs="Times New Roman"/>
                <w:sz w:val="18"/>
                <w:szCs w:val="18"/>
              </w:rPr>
              <w:t>201</w:t>
            </w:r>
            <w:r>
              <w:rPr>
                <w:rFonts w:ascii="Verdana" w:eastAsia="Cambria" w:hAnsi="Verdana" w:cs="Times New Roman"/>
                <w:sz w:val="18"/>
                <w:szCs w:val="18"/>
              </w:rPr>
              <w:t>7</w:t>
            </w:r>
          </w:p>
        </w:tc>
        <w:tc>
          <w:tcPr>
            <w:tcW w:w="2632" w:type="pct"/>
            <w:tcBorders>
              <w:top w:val="single" w:sz="6" w:space="0" w:color="993366"/>
              <w:bottom w:val="single" w:sz="6" w:space="0" w:color="993366"/>
            </w:tcBorders>
            <w:shd w:val="clear" w:color="auto" w:fill="auto"/>
          </w:tcPr>
          <w:p w14:paraId="36A6C265" w14:textId="77777777" w:rsidR="003D7AF8" w:rsidRPr="001530DF" w:rsidRDefault="003D7AF8" w:rsidP="000C6F9E">
            <w:pPr>
              <w:spacing w:after="0" w:line="240" w:lineRule="auto"/>
              <w:rPr>
                <w:rFonts w:ascii="Verdana" w:eastAsia="Cambria" w:hAnsi="Verdana" w:cs="Times New Roman"/>
                <w:sz w:val="18"/>
                <w:szCs w:val="18"/>
              </w:rPr>
            </w:pPr>
            <w:r>
              <w:rPr>
                <w:rFonts w:ascii="Verdana" w:eastAsia="Cambria" w:hAnsi="Verdana" w:cs="Times New Roman"/>
                <w:sz w:val="18"/>
                <w:szCs w:val="18"/>
              </w:rPr>
              <w:t xml:space="preserve">10 </w:t>
            </w:r>
          </w:p>
        </w:tc>
      </w:tr>
      <w:tr w:rsidR="003D7AF8" w:rsidRPr="001530DF" w14:paraId="7D67B178" w14:textId="77777777" w:rsidTr="00E07F6C">
        <w:tc>
          <w:tcPr>
            <w:tcW w:w="2368" w:type="pct"/>
            <w:tcBorders>
              <w:top w:val="single" w:sz="6" w:space="0" w:color="993366"/>
              <w:bottom w:val="single" w:sz="6" w:space="0" w:color="993366"/>
            </w:tcBorders>
            <w:shd w:val="clear" w:color="auto" w:fill="auto"/>
          </w:tcPr>
          <w:p w14:paraId="5D7D8C5D" w14:textId="77777777" w:rsidR="003D7AF8" w:rsidRPr="001530DF" w:rsidRDefault="003D7AF8" w:rsidP="000C6F9E">
            <w:pPr>
              <w:spacing w:after="0" w:line="240" w:lineRule="auto"/>
              <w:rPr>
                <w:rFonts w:ascii="Verdana" w:eastAsia="Cambria" w:hAnsi="Verdana" w:cs="Times New Roman"/>
                <w:sz w:val="18"/>
                <w:szCs w:val="18"/>
              </w:rPr>
            </w:pPr>
            <w:r w:rsidRPr="001530DF">
              <w:rPr>
                <w:rFonts w:ascii="Verdana" w:eastAsia="Cambria" w:hAnsi="Verdana" w:cs="Times New Roman"/>
                <w:sz w:val="18"/>
                <w:szCs w:val="18"/>
              </w:rPr>
              <w:t>201</w:t>
            </w:r>
            <w:r>
              <w:rPr>
                <w:rFonts w:ascii="Verdana" w:eastAsia="Cambria" w:hAnsi="Verdana" w:cs="Times New Roman"/>
                <w:sz w:val="18"/>
                <w:szCs w:val="18"/>
              </w:rPr>
              <w:t>8</w:t>
            </w:r>
          </w:p>
        </w:tc>
        <w:tc>
          <w:tcPr>
            <w:tcW w:w="2632" w:type="pct"/>
            <w:tcBorders>
              <w:top w:val="single" w:sz="6" w:space="0" w:color="993366"/>
              <w:bottom w:val="single" w:sz="6" w:space="0" w:color="993366"/>
            </w:tcBorders>
            <w:shd w:val="clear" w:color="auto" w:fill="auto"/>
          </w:tcPr>
          <w:p w14:paraId="347EBEBA" w14:textId="77777777" w:rsidR="003D7AF8" w:rsidRPr="001530DF" w:rsidRDefault="003D7AF8" w:rsidP="000C6F9E">
            <w:pPr>
              <w:spacing w:after="0" w:line="240" w:lineRule="auto"/>
              <w:rPr>
                <w:rFonts w:ascii="Verdana" w:eastAsia="Cambria" w:hAnsi="Verdana" w:cs="Times New Roman"/>
                <w:sz w:val="18"/>
                <w:szCs w:val="18"/>
              </w:rPr>
            </w:pPr>
            <w:r>
              <w:rPr>
                <w:rFonts w:ascii="Verdana" w:eastAsia="Cambria" w:hAnsi="Verdana" w:cs="Times New Roman"/>
                <w:sz w:val="18"/>
                <w:szCs w:val="18"/>
              </w:rPr>
              <w:t>0</w:t>
            </w:r>
          </w:p>
        </w:tc>
      </w:tr>
      <w:tr w:rsidR="003D7AF8" w:rsidRPr="001530DF" w14:paraId="21C86BA7" w14:textId="77777777" w:rsidTr="00E07F6C">
        <w:tc>
          <w:tcPr>
            <w:tcW w:w="5000" w:type="pct"/>
            <w:gridSpan w:val="2"/>
            <w:tcBorders>
              <w:top w:val="single" w:sz="6" w:space="0" w:color="993366"/>
              <w:bottom w:val="single" w:sz="6" w:space="0" w:color="993366"/>
            </w:tcBorders>
            <w:shd w:val="clear" w:color="auto" w:fill="B8CCE4"/>
          </w:tcPr>
          <w:p w14:paraId="0E1048E0" w14:textId="77777777" w:rsidR="003D7AF8" w:rsidRPr="001530DF" w:rsidRDefault="003D7AF8" w:rsidP="000C6F9E">
            <w:pPr>
              <w:spacing w:after="0" w:line="240" w:lineRule="auto"/>
              <w:rPr>
                <w:rFonts w:ascii="Verdana" w:eastAsia="Cambria" w:hAnsi="Verdana" w:cs="Times New Roman"/>
                <w:b/>
                <w:sz w:val="18"/>
                <w:szCs w:val="18"/>
              </w:rPr>
            </w:pPr>
            <w:r w:rsidRPr="001530DF">
              <w:rPr>
                <w:rFonts w:ascii="Verdana" w:eastAsia="Cambria" w:hAnsi="Verdana" w:cs="Times New Roman"/>
                <w:b/>
                <w:sz w:val="18"/>
                <w:szCs w:val="18"/>
              </w:rPr>
              <w:t>Podaljšanje akreditacije</w:t>
            </w:r>
          </w:p>
        </w:tc>
      </w:tr>
      <w:tr w:rsidR="003D7AF8" w:rsidRPr="001530DF" w14:paraId="4F0AA89D" w14:textId="77777777" w:rsidTr="00E07F6C">
        <w:tc>
          <w:tcPr>
            <w:tcW w:w="2368" w:type="pct"/>
            <w:tcBorders>
              <w:top w:val="single" w:sz="6" w:space="0" w:color="993366"/>
              <w:bottom w:val="single" w:sz="6" w:space="0" w:color="993366"/>
            </w:tcBorders>
            <w:shd w:val="clear" w:color="auto" w:fill="B8CCE4"/>
          </w:tcPr>
          <w:p w14:paraId="20D6BAF0" w14:textId="77777777" w:rsidR="003D7AF8" w:rsidRPr="001530DF" w:rsidRDefault="003D7AF8" w:rsidP="000C6F9E">
            <w:pPr>
              <w:spacing w:after="0" w:line="240" w:lineRule="auto"/>
              <w:rPr>
                <w:rFonts w:ascii="Verdana" w:eastAsia="Cambria" w:hAnsi="Verdana" w:cs="Times New Roman"/>
                <w:b/>
                <w:sz w:val="18"/>
                <w:szCs w:val="18"/>
              </w:rPr>
            </w:pPr>
            <w:r>
              <w:rPr>
                <w:rFonts w:ascii="Verdana" w:eastAsia="Cambria" w:hAnsi="Verdana" w:cs="Times New Roman"/>
                <w:b/>
                <w:sz w:val="18"/>
                <w:szCs w:val="18"/>
              </w:rPr>
              <w:t>odločitev</w:t>
            </w:r>
            <w:r w:rsidRPr="001530DF">
              <w:rPr>
                <w:rFonts w:ascii="Verdana" w:eastAsia="Cambria" w:hAnsi="Verdana" w:cs="Times New Roman"/>
                <w:b/>
                <w:sz w:val="18"/>
                <w:szCs w:val="18"/>
              </w:rPr>
              <w:t xml:space="preserve"> v letu:</w:t>
            </w:r>
          </w:p>
        </w:tc>
        <w:tc>
          <w:tcPr>
            <w:tcW w:w="2632" w:type="pct"/>
            <w:tcBorders>
              <w:top w:val="single" w:sz="6" w:space="0" w:color="993366"/>
              <w:bottom w:val="single" w:sz="6" w:space="0" w:color="993366"/>
            </w:tcBorders>
            <w:shd w:val="clear" w:color="auto" w:fill="B8CCE4"/>
          </w:tcPr>
          <w:p w14:paraId="68CE57C9" w14:textId="77777777" w:rsidR="003D7AF8" w:rsidRPr="001530DF" w:rsidRDefault="003D7AF8" w:rsidP="000C6F9E">
            <w:pPr>
              <w:spacing w:after="0" w:line="240" w:lineRule="auto"/>
              <w:rPr>
                <w:rFonts w:ascii="Verdana" w:eastAsia="Cambria" w:hAnsi="Verdana" w:cs="Times New Roman"/>
                <w:b/>
                <w:sz w:val="18"/>
                <w:szCs w:val="18"/>
              </w:rPr>
            </w:pPr>
            <w:r w:rsidRPr="001530DF">
              <w:rPr>
                <w:rFonts w:ascii="Verdana" w:eastAsia="Cambria" w:hAnsi="Verdana" w:cs="Times New Roman"/>
                <w:b/>
                <w:sz w:val="18"/>
                <w:szCs w:val="18"/>
              </w:rPr>
              <w:t>Povprečno trajanje postopka v mesecih</w:t>
            </w:r>
            <w:r>
              <w:rPr>
                <w:rFonts w:ascii="Verdana" w:eastAsia="Cambria" w:hAnsi="Verdana" w:cs="Times New Roman"/>
                <w:b/>
                <w:sz w:val="18"/>
                <w:szCs w:val="18"/>
              </w:rPr>
              <w:t>*</w:t>
            </w:r>
          </w:p>
        </w:tc>
      </w:tr>
      <w:tr w:rsidR="003D7AF8" w:rsidRPr="001530DF" w14:paraId="64CCC710" w14:textId="77777777" w:rsidTr="00E07F6C">
        <w:tc>
          <w:tcPr>
            <w:tcW w:w="2368" w:type="pct"/>
            <w:tcBorders>
              <w:top w:val="single" w:sz="6" w:space="0" w:color="993366"/>
              <w:bottom w:val="single" w:sz="6" w:space="0" w:color="993366"/>
            </w:tcBorders>
            <w:shd w:val="clear" w:color="auto" w:fill="auto"/>
          </w:tcPr>
          <w:p w14:paraId="66F36CC5" w14:textId="77777777" w:rsidR="003D7AF8" w:rsidRPr="001530DF" w:rsidRDefault="003D7AF8" w:rsidP="000C6F9E">
            <w:pPr>
              <w:spacing w:after="0" w:line="240" w:lineRule="auto"/>
              <w:rPr>
                <w:rFonts w:ascii="Verdana" w:eastAsia="Cambria" w:hAnsi="Verdana" w:cs="Times New Roman"/>
                <w:sz w:val="18"/>
                <w:szCs w:val="18"/>
              </w:rPr>
            </w:pPr>
            <w:r w:rsidRPr="001530DF">
              <w:rPr>
                <w:rFonts w:ascii="Verdana" w:eastAsia="Cambria" w:hAnsi="Verdana" w:cs="Times New Roman"/>
                <w:sz w:val="18"/>
                <w:szCs w:val="18"/>
              </w:rPr>
              <w:t>201</w:t>
            </w:r>
            <w:r>
              <w:rPr>
                <w:rFonts w:ascii="Verdana" w:eastAsia="Cambria" w:hAnsi="Verdana" w:cs="Times New Roman"/>
                <w:sz w:val="18"/>
                <w:szCs w:val="18"/>
              </w:rPr>
              <w:t>6</w:t>
            </w:r>
          </w:p>
        </w:tc>
        <w:tc>
          <w:tcPr>
            <w:tcW w:w="2632" w:type="pct"/>
            <w:tcBorders>
              <w:top w:val="single" w:sz="6" w:space="0" w:color="993366"/>
              <w:bottom w:val="single" w:sz="6" w:space="0" w:color="993366"/>
            </w:tcBorders>
            <w:shd w:val="clear" w:color="auto" w:fill="auto"/>
          </w:tcPr>
          <w:p w14:paraId="23A0A453" w14:textId="77777777" w:rsidR="003D7AF8" w:rsidRPr="001530DF" w:rsidRDefault="003D7AF8" w:rsidP="000C6F9E">
            <w:pPr>
              <w:spacing w:after="0" w:line="240" w:lineRule="auto"/>
              <w:rPr>
                <w:rFonts w:ascii="Verdana" w:eastAsia="Cambria" w:hAnsi="Verdana" w:cs="Times New Roman"/>
                <w:sz w:val="18"/>
                <w:szCs w:val="18"/>
              </w:rPr>
            </w:pPr>
            <w:r>
              <w:rPr>
                <w:rFonts w:ascii="Verdana" w:eastAsia="Cambria" w:hAnsi="Verdana" w:cs="Times New Roman"/>
                <w:sz w:val="18"/>
                <w:szCs w:val="18"/>
              </w:rPr>
              <w:t>12</w:t>
            </w:r>
          </w:p>
        </w:tc>
      </w:tr>
      <w:tr w:rsidR="003D7AF8" w:rsidRPr="001530DF" w14:paraId="4ABE2384" w14:textId="77777777" w:rsidTr="00E07F6C">
        <w:tc>
          <w:tcPr>
            <w:tcW w:w="2368" w:type="pct"/>
            <w:tcBorders>
              <w:top w:val="single" w:sz="6" w:space="0" w:color="993366"/>
              <w:bottom w:val="single" w:sz="6" w:space="0" w:color="993366"/>
            </w:tcBorders>
            <w:shd w:val="clear" w:color="auto" w:fill="auto"/>
          </w:tcPr>
          <w:p w14:paraId="1EFD9285" w14:textId="77777777" w:rsidR="003D7AF8" w:rsidRPr="001530DF" w:rsidRDefault="003D7AF8" w:rsidP="000C6F9E">
            <w:pPr>
              <w:spacing w:after="0" w:line="240" w:lineRule="auto"/>
              <w:rPr>
                <w:rFonts w:ascii="Verdana" w:eastAsia="Cambria" w:hAnsi="Verdana" w:cs="Times New Roman"/>
                <w:sz w:val="18"/>
                <w:szCs w:val="18"/>
              </w:rPr>
            </w:pPr>
            <w:r w:rsidRPr="001530DF">
              <w:rPr>
                <w:rFonts w:ascii="Verdana" w:eastAsia="Cambria" w:hAnsi="Verdana" w:cs="Times New Roman"/>
                <w:sz w:val="18"/>
                <w:szCs w:val="18"/>
              </w:rPr>
              <w:t>201</w:t>
            </w:r>
            <w:r>
              <w:rPr>
                <w:rFonts w:ascii="Verdana" w:eastAsia="Cambria" w:hAnsi="Verdana" w:cs="Times New Roman"/>
                <w:sz w:val="18"/>
                <w:szCs w:val="18"/>
              </w:rPr>
              <w:t>7</w:t>
            </w:r>
          </w:p>
        </w:tc>
        <w:tc>
          <w:tcPr>
            <w:tcW w:w="2632" w:type="pct"/>
            <w:tcBorders>
              <w:top w:val="single" w:sz="6" w:space="0" w:color="993366"/>
              <w:bottom w:val="single" w:sz="6" w:space="0" w:color="993366"/>
            </w:tcBorders>
            <w:shd w:val="clear" w:color="auto" w:fill="auto"/>
          </w:tcPr>
          <w:p w14:paraId="00EACCC4" w14:textId="77777777" w:rsidR="003D7AF8" w:rsidRPr="001530DF" w:rsidRDefault="003D7AF8" w:rsidP="000C6F9E">
            <w:pPr>
              <w:spacing w:after="0" w:line="240" w:lineRule="auto"/>
              <w:rPr>
                <w:rFonts w:ascii="Verdana" w:eastAsia="Cambria" w:hAnsi="Verdana" w:cs="Times New Roman"/>
                <w:sz w:val="18"/>
                <w:szCs w:val="18"/>
              </w:rPr>
            </w:pPr>
            <w:r>
              <w:rPr>
                <w:rFonts w:ascii="Verdana" w:eastAsia="Cambria" w:hAnsi="Verdana" w:cs="Times New Roman"/>
                <w:sz w:val="18"/>
                <w:szCs w:val="18"/>
              </w:rPr>
              <w:t>14</w:t>
            </w:r>
          </w:p>
        </w:tc>
      </w:tr>
      <w:tr w:rsidR="003D7AF8" w:rsidRPr="001530DF" w14:paraId="18133314" w14:textId="77777777" w:rsidTr="00E07F6C">
        <w:tc>
          <w:tcPr>
            <w:tcW w:w="2368" w:type="pct"/>
            <w:tcBorders>
              <w:top w:val="single" w:sz="6" w:space="0" w:color="993366"/>
              <w:bottom w:val="single" w:sz="2" w:space="0" w:color="993366"/>
            </w:tcBorders>
            <w:shd w:val="clear" w:color="auto" w:fill="auto"/>
          </w:tcPr>
          <w:p w14:paraId="7B654E26" w14:textId="77777777" w:rsidR="003D7AF8" w:rsidRPr="001530DF" w:rsidRDefault="003D7AF8" w:rsidP="000C6F9E">
            <w:pPr>
              <w:spacing w:after="0" w:line="240" w:lineRule="auto"/>
              <w:rPr>
                <w:rFonts w:ascii="Verdana" w:eastAsia="Cambria" w:hAnsi="Verdana" w:cs="Times New Roman"/>
                <w:sz w:val="18"/>
                <w:szCs w:val="18"/>
              </w:rPr>
            </w:pPr>
            <w:r>
              <w:rPr>
                <w:rFonts w:ascii="Verdana" w:eastAsia="Cambria" w:hAnsi="Verdana" w:cs="Times New Roman"/>
                <w:sz w:val="18"/>
                <w:szCs w:val="18"/>
              </w:rPr>
              <w:t>2018</w:t>
            </w:r>
          </w:p>
        </w:tc>
        <w:tc>
          <w:tcPr>
            <w:tcW w:w="2632" w:type="pct"/>
            <w:tcBorders>
              <w:top w:val="single" w:sz="6" w:space="0" w:color="993366"/>
              <w:bottom w:val="single" w:sz="2" w:space="0" w:color="993366"/>
            </w:tcBorders>
            <w:shd w:val="clear" w:color="auto" w:fill="auto"/>
          </w:tcPr>
          <w:p w14:paraId="7874133E" w14:textId="77777777" w:rsidR="003D7AF8" w:rsidRPr="001530DF" w:rsidRDefault="003D7AF8" w:rsidP="000C6F9E">
            <w:pPr>
              <w:spacing w:after="0" w:line="240" w:lineRule="auto"/>
              <w:rPr>
                <w:rFonts w:ascii="Verdana" w:eastAsia="Cambria" w:hAnsi="Verdana" w:cs="Times New Roman"/>
                <w:sz w:val="18"/>
                <w:szCs w:val="18"/>
              </w:rPr>
            </w:pPr>
            <w:r>
              <w:rPr>
                <w:rFonts w:ascii="Verdana" w:eastAsia="Cambria" w:hAnsi="Verdana" w:cs="Times New Roman"/>
                <w:sz w:val="18"/>
                <w:szCs w:val="18"/>
              </w:rPr>
              <w:t>0</w:t>
            </w:r>
          </w:p>
        </w:tc>
      </w:tr>
    </w:tbl>
    <w:p w14:paraId="339B3BFE" w14:textId="77777777" w:rsidR="003D7AF8" w:rsidRDefault="003D7AF8" w:rsidP="003D7AF8">
      <w:pPr>
        <w:spacing w:line="240" w:lineRule="auto"/>
        <w:jc w:val="both"/>
        <w:rPr>
          <w:rFonts w:ascii="Verdana" w:eastAsia="Cambria" w:hAnsi="Verdana" w:cs="Calibri"/>
          <w:sz w:val="20"/>
          <w:szCs w:val="20"/>
          <w:highlight w:val="yellow"/>
        </w:rPr>
      </w:pPr>
    </w:p>
    <w:p w14:paraId="65593BD0" w14:textId="77777777" w:rsidR="005239BE" w:rsidRDefault="003D7AF8" w:rsidP="005239BE">
      <w:pPr>
        <w:spacing w:after="0" w:line="240" w:lineRule="auto"/>
        <w:jc w:val="both"/>
        <w:rPr>
          <w:rFonts w:ascii="Verdana" w:eastAsia="Cambria" w:hAnsi="Verdana" w:cs="Calibri"/>
          <w:i/>
          <w:sz w:val="20"/>
          <w:szCs w:val="20"/>
        </w:rPr>
      </w:pPr>
      <w:r w:rsidRPr="00A74708">
        <w:rPr>
          <w:rFonts w:ascii="Verdana" w:eastAsia="Cambria" w:hAnsi="Verdana" w:cs="Calibri"/>
          <w:i/>
          <w:sz w:val="20"/>
          <w:szCs w:val="20"/>
        </w:rPr>
        <w:t>OPOMB</w:t>
      </w:r>
      <w:r>
        <w:rPr>
          <w:rFonts w:ascii="Verdana" w:eastAsia="Cambria" w:hAnsi="Verdana" w:cs="Calibri"/>
          <w:i/>
          <w:sz w:val="20"/>
          <w:szCs w:val="20"/>
        </w:rPr>
        <w:t>I</w:t>
      </w:r>
      <w:r w:rsidRPr="00A74708">
        <w:rPr>
          <w:rFonts w:ascii="Verdana" w:eastAsia="Cambria" w:hAnsi="Verdana" w:cs="Calibri"/>
          <w:i/>
          <w:sz w:val="20"/>
          <w:szCs w:val="20"/>
        </w:rPr>
        <w:t xml:space="preserve">: </w:t>
      </w:r>
    </w:p>
    <w:p w14:paraId="2B5891C6" w14:textId="77777777" w:rsidR="003D7AF8" w:rsidRPr="005239BE" w:rsidRDefault="003D7AF8" w:rsidP="005239BE">
      <w:pPr>
        <w:spacing w:after="0" w:line="240" w:lineRule="auto"/>
        <w:jc w:val="both"/>
        <w:rPr>
          <w:rFonts w:ascii="Verdana" w:eastAsia="Cambria" w:hAnsi="Verdana" w:cs="Calibri"/>
          <w:i/>
          <w:sz w:val="20"/>
          <w:szCs w:val="20"/>
        </w:rPr>
      </w:pPr>
      <w:r w:rsidRPr="00A74708">
        <w:rPr>
          <w:rFonts w:ascii="Verdana" w:eastAsia="Cambria" w:hAnsi="Verdana" w:cs="Calibri"/>
          <w:i/>
          <w:sz w:val="20"/>
          <w:szCs w:val="20"/>
        </w:rPr>
        <w:t>*</w:t>
      </w:r>
      <w:r w:rsidRPr="00A74708">
        <w:rPr>
          <w:rFonts w:ascii="Verdana" w:eastAsia="Calibri" w:hAnsi="Verdana" w:cs="Times New Roman"/>
          <w:i/>
          <w:sz w:val="20"/>
          <w:szCs w:val="20"/>
        </w:rPr>
        <w:t>Upoštevan je čas od vložitve vloge</w:t>
      </w:r>
      <w:r w:rsidRPr="00A74708">
        <w:rPr>
          <w:rFonts w:ascii="Verdana" w:eastAsia="Cambria" w:hAnsi="Verdana" w:cs="Times New Roman"/>
          <w:i/>
          <w:sz w:val="20"/>
          <w:szCs w:val="20"/>
        </w:rPr>
        <w:t xml:space="preserve"> do končne odločitve. </w:t>
      </w:r>
    </w:p>
    <w:p w14:paraId="7FDD3264" w14:textId="7F026FB3" w:rsidR="003D7AF8" w:rsidRPr="00020D39" w:rsidRDefault="003D7AF8" w:rsidP="005239BE">
      <w:pPr>
        <w:pStyle w:val="Pripombabesedilo"/>
        <w:spacing w:after="0"/>
        <w:jc w:val="both"/>
        <w:rPr>
          <w:rFonts w:ascii="Verdana" w:hAnsi="Verdana"/>
          <w:i/>
        </w:rPr>
      </w:pPr>
      <w:r w:rsidRPr="00020D39">
        <w:rPr>
          <w:rFonts w:ascii="Verdana" w:hAnsi="Verdana"/>
          <w:i/>
        </w:rPr>
        <w:t xml:space="preserve">**Trajanje postopka je tako dolgo le zaradi dveh programov enega visokošolskega zavoda, postopek se je zaradi dopolnjevanja vlog in pritožb oziroma dveh tožb (na Upravno sodišče) vlekel vse od leta 2009, torej ga je začel že Svet RS za visoko šolstvo, katerega naloge je nasledila leta 2010 ustanovljena agencija. Vlogi za akreditacijo teh dveh programov sta bili prejeti 20. 11. 2009 in 31. 12. 2009, postopka sta bila </w:t>
      </w:r>
      <w:r w:rsidR="0041199F">
        <w:rPr>
          <w:rFonts w:ascii="Verdana" w:hAnsi="Verdana"/>
          <w:i/>
        </w:rPr>
        <w:t xml:space="preserve">pravnomočno </w:t>
      </w:r>
      <w:r>
        <w:rPr>
          <w:rFonts w:ascii="Verdana" w:hAnsi="Verdana"/>
          <w:i/>
        </w:rPr>
        <w:t>končana</w:t>
      </w:r>
      <w:r w:rsidRPr="00020D39">
        <w:rPr>
          <w:rFonts w:ascii="Verdana" w:hAnsi="Verdana"/>
          <w:i/>
        </w:rPr>
        <w:t xml:space="preserve"> 21. 4. 2016. Trajala sta 76 in 77 mesecev.</w:t>
      </w:r>
    </w:p>
    <w:p w14:paraId="63E321E2" w14:textId="77777777" w:rsidR="005239BE" w:rsidRDefault="005239BE" w:rsidP="005239BE">
      <w:pPr>
        <w:spacing w:after="0" w:line="240" w:lineRule="auto"/>
        <w:jc w:val="both"/>
        <w:rPr>
          <w:rFonts w:ascii="Verdana" w:eastAsia="Cambria" w:hAnsi="Verdana" w:cs="Times New Roman"/>
        </w:rPr>
      </w:pPr>
    </w:p>
    <w:p w14:paraId="1B97C92C" w14:textId="77777777" w:rsidR="003D7AF8" w:rsidRDefault="003D7AF8" w:rsidP="005239BE">
      <w:pPr>
        <w:spacing w:after="0" w:line="240" w:lineRule="auto"/>
        <w:jc w:val="both"/>
        <w:rPr>
          <w:rFonts w:ascii="Verdana" w:eastAsia="Cambria" w:hAnsi="Verdana" w:cs="Times New Roman"/>
        </w:rPr>
      </w:pPr>
      <w:r>
        <w:rPr>
          <w:rFonts w:ascii="Verdana" w:eastAsia="Cambria" w:hAnsi="Verdana" w:cs="Times New Roman"/>
        </w:rPr>
        <w:t>POJASNILO</w:t>
      </w:r>
    </w:p>
    <w:p w14:paraId="290D704E" w14:textId="77777777" w:rsidR="005239BE" w:rsidRDefault="005239BE" w:rsidP="005239BE">
      <w:pPr>
        <w:spacing w:after="0" w:line="240" w:lineRule="auto"/>
        <w:jc w:val="both"/>
        <w:rPr>
          <w:rFonts w:ascii="Verdana" w:eastAsia="Cambria" w:hAnsi="Verdana" w:cs="Times New Roman"/>
        </w:rPr>
      </w:pPr>
    </w:p>
    <w:p w14:paraId="64D5CD20" w14:textId="1CC94B54" w:rsidR="00674752" w:rsidRPr="000B223C" w:rsidRDefault="003D7AF8" w:rsidP="00674752">
      <w:pPr>
        <w:spacing w:line="240" w:lineRule="auto"/>
        <w:jc w:val="both"/>
        <w:rPr>
          <w:rFonts w:ascii="Verdana" w:eastAsia="Cambria" w:hAnsi="Verdana" w:cs="Times New Roman"/>
        </w:rPr>
      </w:pPr>
      <w:r w:rsidRPr="000B223C">
        <w:rPr>
          <w:rFonts w:ascii="Verdana" w:eastAsia="Calibri" w:hAnsi="Verdana" w:cs="Times New Roman"/>
        </w:rPr>
        <w:t xml:space="preserve">Iz preglednice je razvidno, da se je trajanje postopkov od leta 2016 praviloma podaljševalo. </w:t>
      </w:r>
      <w:r>
        <w:rPr>
          <w:rFonts w:ascii="Verdana" w:eastAsia="Calibri" w:hAnsi="Verdana" w:cs="Times New Roman"/>
        </w:rPr>
        <w:t>Z letom 2018 lahko primerjamo le trajanje postopkov pri akreditaciji študijskih programov, ker odločitev o akreditaciji zavodov ni bilo</w:t>
      </w:r>
      <w:r w:rsidRPr="000B223C">
        <w:rPr>
          <w:rFonts w:ascii="Verdana" w:eastAsia="Calibri" w:hAnsi="Verdana" w:cs="Times New Roman"/>
        </w:rPr>
        <w:t xml:space="preserve">. </w:t>
      </w:r>
      <w:r w:rsidR="00674752">
        <w:rPr>
          <w:rFonts w:ascii="Verdana" w:eastAsia="Cambria" w:hAnsi="Verdana" w:cs="Times New Roman"/>
        </w:rPr>
        <w:t xml:space="preserve">Podaljšanje povprečnega trajanja postopkov pri podaljševanju akreditacije študijskim programom s 14 mesecev leta 2016 ali 16,5 meseca leta 2017 na kar 26 mesecev v letu 2018 je popolnoma nesprejemljivo. </w:t>
      </w:r>
      <w:r w:rsidR="00674752" w:rsidRPr="007E7A08">
        <w:rPr>
          <w:rFonts w:ascii="Verdana" w:eastAsia="Cambria" w:hAnsi="Verdana" w:cs="Times New Roman"/>
        </w:rPr>
        <w:t>Pri analizi vzrokov za to namreč ni bilo ugotovljeno, da bi na podaljšanje postopkov za kar 10 oziroma 12 mesecev vplivalo dovolj veliko število »težavnih« zadev</w:t>
      </w:r>
      <w:r w:rsidR="00674752">
        <w:rPr>
          <w:rFonts w:ascii="Verdana" w:eastAsia="Cambria" w:hAnsi="Verdana" w:cs="Times New Roman"/>
        </w:rPr>
        <w:t>.</w:t>
      </w:r>
      <w:r w:rsidR="00674752" w:rsidRPr="00715A47">
        <w:rPr>
          <w:rFonts w:ascii="Verdana" w:hAnsi="Verdana"/>
        </w:rPr>
        <w:t xml:space="preserve"> </w:t>
      </w:r>
      <w:r w:rsidR="00674752" w:rsidRPr="007E7A08">
        <w:rPr>
          <w:rFonts w:ascii="Verdana" w:hAnsi="Verdana"/>
        </w:rPr>
        <w:t>Postopek akreditacije</w:t>
      </w:r>
      <w:r w:rsidR="00674752">
        <w:rPr>
          <w:rFonts w:ascii="Verdana" w:hAnsi="Verdana"/>
        </w:rPr>
        <w:t xml:space="preserve"> se je</w:t>
      </w:r>
      <w:r w:rsidR="00674752" w:rsidRPr="007E7A08">
        <w:rPr>
          <w:rFonts w:ascii="Verdana" w:eastAsia="Cambria" w:hAnsi="Verdana" w:cs="Times New Roman"/>
        </w:rPr>
        <w:t>:</w:t>
      </w:r>
    </w:p>
    <w:p w14:paraId="792B3B02" w14:textId="71A210C6" w:rsidR="00674752" w:rsidRPr="00122A63" w:rsidRDefault="00674752" w:rsidP="00674752">
      <w:pPr>
        <w:pStyle w:val="Pripombabesedilo"/>
        <w:rPr>
          <w:rFonts w:ascii="Verdana" w:hAnsi="Verdana"/>
          <w:sz w:val="22"/>
          <w:szCs w:val="22"/>
        </w:rPr>
      </w:pPr>
      <w:r w:rsidRPr="00122A63">
        <w:rPr>
          <w:rFonts w:ascii="Verdana" w:hAnsi="Verdana"/>
          <w:b/>
          <w:i/>
          <w:sz w:val="22"/>
          <w:szCs w:val="22"/>
        </w:rPr>
        <w:t xml:space="preserve">upravičeno </w:t>
      </w:r>
      <w:r w:rsidRPr="00122A63">
        <w:rPr>
          <w:rFonts w:ascii="Verdana" w:hAnsi="Verdana"/>
          <w:sz w:val="22"/>
          <w:szCs w:val="22"/>
        </w:rPr>
        <w:t xml:space="preserve">podaljševal za </w:t>
      </w:r>
      <w:r>
        <w:rPr>
          <w:rFonts w:ascii="Verdana" w:hAnsi="Verdana"/>
          <w:sz w:val="22"/>
          <w:szCs w:val="22"/>
        </w:rPr>
        <w:t>1</w:t>
      </w:r>
      <w:r w:rsidR="00594178">
        <w:rPr>
          <w:rFonts w:ascii="Verdana" w:hAnsi="Verdana"/>
          <w:sz w:val="22"/>
          <w:szCs w:val="22"/>
        </w:rPr>
        <w:t>7</w:t>
      </w:r>
      <w:r w:rsidRPr="00122A63">
        <w:rPr>
          <w:rFonts w:ascii="Verdana" w:hAnsi="Verdana"/>
          <w:sz w:val="22"/>
          <w:szCs w:val="22"/>
        </w:rPr>
        <w:t xml:space="preserve"> programov zaradi: </w:t>
      </w:r>
    </w:p>
    <w:p w14:paraId="0A83BBA2" w14:textId="77777777" w:rsidR="00674752" w:rsidRPr="00122A63" w:rsidRDefault="00674752" w:rsidP="00674752">
      <w:pPr>
        <w:pStyle w:val="Pripombabesedilo"/>
        <w:numPr>
          <w:ilvl w:val="0"/>
          <w:numId w:val="39"/>
        </w:numPr>
        <w:spacing w:after="0"/>
        <w:rPr>
          <w:rFonts w:ascii="Verdana" w:hAnsi="Verdana"/>
          <w:sz w:val="22"/>
          <w:szCs w:val="22"/>
        </w:rPr>
      </w:pPr>
      <w:r w:rsidRPr="00122A63">
        <w:rPr>
          <w:rFonts w:ascii="Verdana" w:hAnsi="Verdana"/>
          <w:sz w:val="22"/>
          <w:szCs w:val="22"/>
        </w:rPr>
        <w:t xml:space="preserve">večkratnih pozivov sveta, naj zavod izdela akcijski načrt, in sicer kar za 14 mesecev; </w:t>
      </w:r>
    </w:p>
    <w:p w14:paraId="7AC1EBB9" w14:textId="77777777" w:rsidR="00674752" w:rsidRPr="00122A63" w:rsidRDefault="00674752" w:rsidP="00674752">
      <w:pPr>
        <w:pStyle w:val="Pripombabesedilo"/>
        <w:numPr>
          <w:ilvl w:val="0"/>
          <w:numId w:val="39"/>
        </w:numPr>
        <w:spacing w:after="0"/>
        <w:rPr>
          <w:rFonts w:ascii="Verdana" w:hAnsi="Verdana"/>
          <w:sz w:val="22"/>
          <w:szCs w:val="22"/>
        </w:rPr>
      </w:pPr>
      <w:r w:rsidRPr="00122A63">
        <w:rPr>
          <w:rFonts w:ascii="Verdana" w:hAnsi="Verdana"/>
          <w:sz w:val="22"/>
          <w:szCs w:val="22"/>
        </w:rPr>
        <w:t>težav z eNakvis, za 13 mesecev;</w:t>
      </w:r>
    </w:p>
    <w:p w14:paraId="63D1007A" w14:textId="3E6A3B4B" w:rsidR="00674752" w:rsidRPr="00594178" w:rsidRDefault="00674752" w:rsidP="00F416A1">
      <w:pPr>
        <w:pStyle w:val="Pripombabesedilo"/>
        <w:numPr>
          <w:ilvl w:val="0"/>
          <w:numId w:val="39"/>
        </w:numPr>
        <w:spacing w:after="0"/>
        <w:rPr>
          <w:rFonts w:ascii="Verdana" w:hAnsi="Verdana"/>
          <w:sz w:val="22"/>
          <w:szCs w:val="22"/>
        </w:rPr>
      </w:pPr>
      <w:r w:rsidRPr="00122A63">
        <w:rPr>
          <w:rFonts w:ascii="Verdana" w:hAnsi="Verdana"/>
          <w:sz w:val="22"/>
          <w:szCs w:val="22"/>
        </w:rPr>
        <w:t>zahteve za stranskega udeleženca v postopku in pritožb;</w:t>
      </w:r>
    </w:p>
    <w:p w14:paraId="640C308B" w14:textId="1C76F7F5" w:rsidR="00674752" w:rsidRPr="00122A63" w:rsidRDefault="00674752" w:rsidP="00F416A1">
      <w:pPr>
        <w:pStyle w:val="Pripombabesedilo"/>
        <w:numPr>
          <w:ilvl w:val="0"/>
          <w:numId w:val="39"/>
        </w:numPr>
        <w:rPr>
          <w:rFonts w:ascii="Verdana" w:hAnsi="Verdana"/>
          <w:sz w:val="22"/>
          <w:szCs w:val="22"/>
        </w:rPr>
      </w:pPr>
      <w:r w:rsidRPr="00122A63">
        <w:rPr>
          <w:rFonts w:ascii="Verdana" w:hAnsi="Verdana"/>
          <w:sz w:val="22"/>
          <w:szCs w:val="22"/>
        </w:rPr>
        <w:t>zaradi nejasnosti, ali gre za obvestilo zavoda ali vlogo za akreditacijo</w:t>
      </w:r>
      <w:r w:rsidR="00594178">
        <w:rPr>
          <w:rFonts w:ascii="Verdana" w:hAnsi="Verdana"/>
          <w:sz w:val="22"/>
          <w:szCs w:val="22"/>
        </w:rPr>
        <w:t>;</w:t>
      </w:r>
    </w:p>
    <w:p w14:paraId="42AF37BC" w14:textId="1B13203D" w:rsidR="00674752" w:rsidRPr="00122A63" w:rsidRDefault="00674752" w:rsidP="00674752">
      <w:pPr>
        <w:pStyle w:val="Pripombabesedilo"/>
        <w:rPr>
          <w:rFonts w:ascii="Verdana" w:hAnsi="Verdana"/>
          <w:sz w:val="22"/>
          <w:szCs w:val="22"/>
        </w:rPr>
      </w:pPr>
      <w:r w:rsidRPr="00122A63">
        <w:rPr>
          <w:rFonts w:ascii="Verdana" w:hAnsi="Verdana"/>
          <w:b/>
          <w:i/>
          <w:sz w:val="22"/>
          <w:szCs w:val="22"/>
        </w:rPr>
        <w:t>neupravičeno</w:t>
      </w:r>
      <w:r w:rsidRPr="00122A63">
        <w:rPr>
          <w:rFonts w:ascii="Verdana" w:hAnsi="Verdana"/>
          <w:sz w:val="22"/>
          <w:szCs w:val="22"/>
        </w:rPr>
        <w:t xml:space="preserve"> podaljševal za 10 programov, in sicer od 11 do 14 mesecev, ker strokovni delavci zavodom niso</w:t>
      </w:r>
      <w:r>
        <w:rPr>
          <w:rFonts w:ascii="Verdana" w:hAnsi="Verdana"/>
          <w:sz w:val="22"/>
          <w:szCs w:val="22"/>
        </w:rPr>
        <w:t xml:space="preserve"> pravočasno</w:t>
      </w:r>
      <w:r w:rsidRPr="00122A63">
        <w:rPr>
          <w:rFonts w:ascii="Verdana" w:hAnsi="Verdana"/>
          <w:sz w:val="22"/>
          <w:szCs w:val="22"/>
        </w:rPr>
        <w:t xml:space="preserve"> pošiljali pozivov za dopolnitev vlog.</w:t>
      </w:r>
    </w:p>
    <w:p w14:paraId="3EBB5301" w14:textId="44631A7E" w:rsidR="00674752" w:rsidRPr="00122A63" w:rsidRDefault="00594178" w:rsidP="00F416A1">
      <w:pPr>
        <w:pStyle w:val="Pripombabesedilo"/>
        <w:spacing w:after="0"/>
        <w:rPr>
          <w:rFonts w:ascii="Verdana" w:hAnsi="Verdana"/>
          <w:sz w:val="22"/>
          <w:szCs w:val="22"/>
        </w:rPr>
      </w:pPr>
      <w:r>
        <w:rPr>
          <w:rFonts w:ascii="Verdana" w:hAnsi="Verdana"/>
          <w:sz w:val="22"/>
          <w:szCs w:val="22"/>
        </w:rPr>
        <w:t>Upravičeno »podaljšani« postopki so v povprečju trajali</w:t>
      </w:r>
      <w:r w:rsidR="00674752" w:rsidRPr="00122A63">
        <w:rPr>
          <w:rFonts w:ascii="Verdana" w:hAnsi="Verdana"/>
          <w:sz w:val="22"/>
          <w:szCs w:val="22"/>
        </w:rPr>
        <w:t xml:space="preserve"> 23 mesecev</w:t>
      </w:r>
      <w:r>
        <w:rPr>
          <w:rFonts w:ascii="Verdana" w:hAnsi="Verdana"/>
          <w:sz w:val="22"/>
          <w:szCs w:val="22"/>
        </w:rPr>
        <w:t xml:space="preserve">, neupravičeno kar </w:t>
      </w:r>
      <w:r w:rsidR="00674752" w:rsidRPr="00122A63">
        <w:rPr>
          <w:rFonts w:ascii="Verdana" w:hAnsi="Verdana"/>
          <w:sz w:val="22"/>
          <w:szCs w:val="22"/>
        </w:rPr>
        <w:t xml:space="preserve"> 30 mesecev</w:t>
      </w:r>
      <w:r w:rsidR="00674752">
        <w:rPr>
          <w:rFonts w:ascii="Verdana" w:hAnsi="Verdana"/>
          <w:sz w:val="22"/>
          <w:szCs w:val="22"/>
        </w:rPr>
        <w:t>;</w:t>
      </w:r>
      <w:r>
        <w:rPr>
          <w:rFonts w:ascii="Verdana" w:hAnsi="Verdana"/>
          <w:sz w:val="22"/>
          <w:szCs w:val="22"/>
        </w:rPr>
        <w:t xml:space="preserve"> v povprečju</w:t>
      </w:r>
      <w:r w:rsidR="00674752" w:rsidRPr="00122A63">
        <w:rPr>
          <w:rFonts w:ascii="Verdana" w:hAnsi="Verdana"/>
          <w:sz w:val="22"/>
          <w:szCs w:val="22"/>
        </w:rPr>
        <w:t xml:space="preserve"> 26 mesecev</w:t>
      </w:r>
      <w:r w:rsidR="00674752">
        <w:rPr>
          <w:rFonts w:ascii="Verdana" w:hAnsi="Verdana"/>
          <w:sz w:val="22"/>
          <w:szCs w:val="22"/>
        </w:rPr>
        <w:t>.</w:t>
      </w:r>
    </w:p>
    <w:p w14:paraId="5DA6D91F" w14:textId="4A9039D4" w:rsidR="00084638" w:rsidRDefault="003D7AF8" w:rsidP="003D7AF8">
      <w:pPr>
        <w:spacing w:line="240" w:lineRule="auto"/>
        <w:jc w:val="both"/>
        <w:rPr>
          <w:rFonts w:ascii="Verdana" w:eastAsia="Cambria" w:hAnsi="Verdana" w:cs="Times New Roman"/>
        </w:rPr>
      </w:pPr>
      <w:r w:rsidRPr="000B223C">
        <w:rPr>
          <w:rFonts w:ascii="Verdana" w:eastAsia="Cambria" w:hAnsi="Verdana" w:cs="Times New Roman"/>
        </w:rPr>
        <w:lastRenderedPageBreak/>
        <w:t xml:space="preserve">Postopki prve akreditacije študijskih programov so brez </w:t>
      </w:r>
      <w:r>
        <w:rPr>
          <w:rFonts w:ascii="Verdana" w:eastAsia="Cambria" w:hAnsi="Verdana" w:cs="Times New Roman"/>
        </w:rPr>
        <w:t xml:space="preserve">zadev pod </w:t>
      </w:r>
      <w:r w:rsidRPr="000B223C">
        <w:rPr>
          <w:rFonts w:ascii="Verdana" w:eastAsia="Cambria" w:hAnsi="Verdana" w:cs="Times New Roman"/>
        </w:rPr>
        <w:t>opomb</w:t>
      </w:r>
      <w:r>
        <w:rPr>
          <w:rFonts w:ascii="Verdana" w:eastAsia="Cambria" w:hAnsi="Verdana" w:cs="Times New Roman"/>
        </w:rPr>
        <w:t>o</w:t>
      </w:r>
      <w:r w:rsidRPr="000B223C">
        <w:rPr>
          <w:rFonts w:ascii="Verdana" w:eastAsia="Cambria" w:hAnsi="Verdana" w:cs="Times New Roman"/>
        </w:rPr>
        <w:t xml:space="preserve">** v letu 2016 trajali v povprečju 10 mesecev, kar je toliko kot v letu 2017. Leta 2018 so se </w:t>
      </w:r>
      <w:r w:rsidR="00594178">
        <w:rPr>
          <w:rFonts w:ascii="Verdana" w:eastAsia="Cambria" w:hAnsi="Verdana" w:cs="Times New Roman"/>
        </w:rPr>
        <w:t>po starih merilih močno podaljšali; trajali so kar 21 mesecev.</w:t>
      </w:r>
      <w:r w:rsidR="00DC5259">
        <w:rPr>
          <w:rFonts w:ascii="Verdana" w:eastAsia="Cambria" w:hAnsi="Verdana" w:cs="Times New Roman"/>
        </w:rPr>
        <w:t xml:space="preserve"> </w:t>
      </w:r>
      <w:r w:rsidR="00084638">
        <w:rPr>
          <w:rFonts w:ascii="Verdana" w:eastAsia="Cambria" w:hAnsi="Verdana" w:cs="Times New Roman"/>
        </w:rPr>
        <w:t xml:space="preserve"> </w:t>
      </w:r>
    </w:p>
    <w:p w14:paraId="68C8B389" w14:textId="2006878D" w:rsidR="002D7141" w:rsidRDefault="00084638" w:rsidP="003D7AF8">
      <w:pPr>
        <w:spacing w:line="240" w:lineRule="auto"/>
        <w:jc w:val="both"/>
        <w:rPr>
          <w:rFonts w:ascii="Verdana" w:eastAsia="Cambria" w:hAnsi="Verdana" w:cs="Times New Roman"/>
        </w:rPr>
      </w:pPr>
      <w:r>
        <w:rPr>
          <w:rFonts w:ascii="Verdana" w:eastAsia="Cambria" w:hAnsi="Verdana" w:cs="Times New Roman"/>
        </w:rPr>
        <w:t>P</w:t>
      </w:r>
      <w:r w:rsidR="00DC5259" w:rsidRPr="00F416A1">
        <w:rPr>
          <w:rFonts w:ascii="Verdana" w:eastAsia="Cambria" w:hAnsi="Verdana" w:cs="Times New Roman"/>
        </w:rPr>
        <w:t>ostopk</w:t>
      </w:r>
      <w:r w:rsidR="00594178" w:rsidRPr="00F416A1">
        <w:rPr>
          <w:rFonts w:ascii="Verdana" w:eastAsia="Cambria" w:hAnsi="Verdana" w:cs="Times New Roman"/>
        </w:rPr>
        <w:t>i</w:t>
      </w:r>
      <w:r w:rsidR="00DC5259" w:rsidRPr="00F416A1">
        <w:rPr>
          <w:rFonts w:ascii="Verdana" w:eastAsia="Cambria" w:hAnsi="Verdana" w:cs="Times New Roman"/>
        </w:rPr>
        <w:t xml:space="preserve"> akreditacije študijskih programov po novih merilih </w:t>
      </w:r>
      <w:r w:rsidRPr="00F416A1">
        <w:rPr>
          <w:rFonts w:ascii="Verdana" w:eastAsia="Cambria" w:hAnsi="Verdana" w:cs="Times New Roman"/>
        </w:rPr>
        <w:t>so se začeli v letu</w:t>
      </w:r>
      <w:r w:rsidR="00DC5259" w:rsidRPr="00F416A1">
        <w:rPr>
          <w:rFonts w:ascii="Verdana" w:eastAsia="Cambria" w:hAnsi="Verdana" w:cs="Times New Roman"/>
        </w:rPr>
        <w:t xml:space="preserve"> 2018 in z zadovoljstvom ugotavljamo, da smo povsem odpravili razloge za neupravičeno podaljševanje postopkov. </w:t>
      </w:r>
      <w:r w:rsidRPr="00F416A1">
        <w:rPr>
          <w:rFonts w:ascii="Verdana" w:eastAsia="Cambria" w:hAnsi="Verdana" w:cs="Times New Roman"/>
        </w:rPr>
        <w:t>Trajali</w:t>
      </w:r>
      <w:r w:rsidR="00DC5259" w:rsidRPr="00F416A1">
        <w:rPr>
          <w:rFonts w:ascii="Verdana" w:eastAsia="Cambria" w:hAnsi="Verdana" w:cs="Times New Roman"/>
        </w:rPr>
        <w:t xml:space="preserve"> so </w:t>
      </w:r>
      <w:r w:rsidR="003D7AF8">
        <w:rPr>
          <w:rFonts w:ascii="Verdana" w:eastAsia="Cambria" w:hAnsi="Verdana" w:cs="Times New Roman"/>
        </w:rPr>
        <w:t xml:space="preserve">le </w:t>
      </w:r>
      <w:r w:rsidR="003D7AF8" w:rsidRPr="00122A63">
        <w:rPr>
          <w:rFonts w:ascii="Verdana" w:eastAsia="Cambria" w:hAnsi="Verdana" w:cs="Times New Roman"/>
          <w:b/>
          <w:i/>
        </w:rPr>
        <w:t>8 mesecev in pol, celo nekoliko manj, kot je predvideno po ZViS in merilih</w:t>
      </w:r>
      <w:r w:rsidR="003D7AF8">
        <w:rPr>
          <w:rFonts w:ascii="Verdana" w:eastAsia="Cambria" w:hAnsi="Verdana" w:cs="Times New Roman"/>
        </w:rPr>
        <w:t>.</w:t>
      </w:r>
    </w:p>
    <w:p w14:paraId="20DC56B4" w14:textId="77777777" w:rsidR="003D7AF8" w:rsidRPr="001530DF" w:rsidRDefault="003D7AF8" w:rsidP="00FF0B53">
      <w:pPr>
        <w:spacing w:line="240" w:lineRule="auto"/>
        <w:jc w:val="both"/>
        <w:rPr>
          <w:rFonts w:ascii="Verdana" w:eastAsia="Cambria" w:hAnsi="Verdana" w:cs="Times New Roman"/>
        </w:rPr>
      </w:pPr>
    </w:p>
    <w:tbl>
      <w:tblPr>
        <w:tblW w:w="9961" w:type="dxa"/>
        <w:tblInd w:w="-72" w:type="dxa"/>
        <w:tblBorders>
          <w:top w:val="single" w:sz="2" w:space="0" w:color="993366"/>
          <w:left w:val="single" w:sz="18" w:space="0" w:color="993366"/>
          <w:bottom w:val="single" w:sz="2" w:space="0" w:color="993366"/>
          <w:right w:val="single" w:sz="18" w:space="0" w:color="993366"/>
          <w:insideH w:val="single" w:sz="6" w:space="0" w:color="993366"/>
          <w:insideV w:val="single" w:sz="6" w:space="0" w:color="993366"/>
        </w:tblBorders>
        <w:tblLayout w:type="fixed"/>
        <w:tblLook w:val="04A0" w:firstRow="1" w:lastRow="0" w:firstColumn="1" w:lastColumn="0" w:noHBand="0" w:noVBand="1"/>
      </w:tblPr>
      <w:tblGrid>
        <w:gridCol w:w="5425"/>
        <w:gridCol w:w="2268"/>
        <w:gridCol w:w="2268"/>
      </w:tblGrid>
      <w:tr w:rsidR="003D7AF8" w:rsidRPr="001530DF" w14:paraId="2A5913D7" w14:textId="77777777" w:rsidTr="00E07F6C">
        <w:trPr>
          <w:trHeight w:val="20"/>
        </w:trPr>
        <w:tc>
          <w:tcPr>
            <w:tcW w:w="9961" w:type="dxa"/>
            <w:gridSpan w:val="3"/>
            <w:tcBorders>
              <w:top w:val="single" w:sz="2" w:space="0" w:color="993366"/>
              <w:left w:val="single" w:sz="18" w:space="0" w:color="993366"/>
              <w:bottom w:val="single" w:sz="6" w:space="0" w:color="993366"/>
              <w:right w:val="single" w:sz="18" w:space="0" w:color="993366"/>
            </w:tcBorders>
            <w:shd w:val="clear" w:color="auto" w:fill="E5B8B7"/>
            <w:vAlign w:val="center"/>
          </w:tcPr>
          <w:p w14:paraId="3FF70338" w14:textId="77777777" w:rsidR="003D7AF8" w:rsidRPr="001530DF" w:rsidRDefault="003D7AF8" w:rsidP="000C6F9E">
            <w:pPr>
              <w:spacing w:after="0" w:line="240" w:lineRule="auto"/>
              <w:rPr>
                <w:rFonts w:ascii="Verdana" w:eastAsia="Cambria" w:hAnsi="Verdana" w:cs="Times New Roman"/>
                <w:b/>
                <w:sz w:val="18"/>
                <w:szCs w:val="18"/>
              </w:rPr>
            </w:pPr>
          </w:p>
          <w:p w14:paraId="02434E4B" w14:textId="77777777" w:rsidR="003D7AF8" w:rsidRPr="001530DF" w:rsidRDefault="003D7AF8" w:rsidP="000C6F9E">
            <w:pPr>
              <w:spacing w:after="0" w:line="240" w:lineRule="auto"/>
              <w:rPr>
                <w:rFonts w:ascii="Verdana" w:eastAsia="Cambria" w:hAnsi="Verdana" w:cs="Times New Roman"/>
                <w:b/>
                <w:sz w:val="18"/>
                <w:szCs w:val="18"/>
              </w:rPr>
            </w:pPr>
            <w:r w:rsidRPr="001530DF">
              <w:rPr>
                <w:rFonts w:ascii="Verdana" w:eastAsia="Cambria" w:hAnsi="Verdana" w:cs="Times New Roman"/>
                <w:b/>
                <w:sz w:val="18"/>
                <w:szCs w:val="18"/>
              </w:rPr>
              <w:t xml:space="preserve">Preglednica </w:t>
            </w:r>
            <w:r>
              <w:rPr>
                <w:rFonts w:ascii="Verdana" w:eastAsia="Cambria" w:hAnsi="Verdana" w:cs="Times New Roman"/>
                <w:b/>
                <w:sz w:val="18"/>
                <w:szCs w:val="18"/>
              </w:rPr>
              <w:t>5</w:t>
            </w:r>
            <w:r w:rsidRPr="001530DF">
              <w:rPr>
                <w:rFonts w:ascii="Verdana" w:eastAsia="Cambria" w:hAnsi="Verdana" w:cs="Times New Roman"/>
                <w:b/>
                <w:sz w:val="18"/>
                <w:szCs w:val="18"/>
              </w:rPr>
              <w:t>: ŠTEVILO AKREDITACIJ ŠTUDIJSKIH PROGRAMOV GLEDE NA ISCED</w:t>
            </w:r>
            <w:r>
              <w:rPr>
                <w:rFonts w:ascii="Verdana" w:eastAsia="Cambria" w:hAnsi="Verdana" w:cs="Times New Roman"/>
                <w:b/>
                <w:sz w:val="18"/>
                <w:szCs w:val="18"/>
              </w:rPr>
              <w:t xml:space="preserve"> – PRIMERJAVA MED LETOMA 2017 in 2018</w:t>
            </w:r>
          </w:p>
          <w:p w14:paraId="6B1F49A4" w14:textId="77777777" w:rsidR="003D7AF8" w:rsidRPr="001530DF" w:rsidRDefault="003D7AF8" w:rsidP="000C6F9E">
            <w:pPr>
              <w:spacing w:after="0" w:line="240" w:lineRule="auto"/>
              <w:rPr>
                <w:rFonts w:ascii="Verdana" w:eastAsia="Cambria" w:hAnsi="Verdana" w:cs="Times New Roman"/>
                <w:b/>
                <w:sz w:val="18"/>
                <w:szCs w:val="18"/>
              </w:rPr>
            </w:pPr>
          </w:p>
        </w:tc>
      </w:tr>
      <w:tr w:rsidR="003D7AF8" w:rsidRPr="001530DF" w14:paraId="5797D56B" w14:textId="77777777" w:rsidTr="00E07F6C">
        <w:trPr>
          <w:trHeight w:val="20"/>
        </w:trPr>
        <w:tc>
          <w:tcPr>
            <w:tcW w:w="9961" w:type="dxa"/>
            <w:gridSpan w:val="3"/>
            <w:shd w:val="clear" w:color="auto" w:fill="B8CCE4"/>
            <w:vAlign w:val="center"/>
          </w:tcPr>
          <w:p w14:paraId="365AE1DE" w14:textId="77777777" w:rsidR="003D7AF8" w:rsidRPr="001530DF" w:rsidRDefault="003D7AF8" w:rsidP="000C6F9E">
            <w:pPr>
              <w:spacing w:after="0" w:line="240" w:lineRule="auto"/>
              <w:rPr>
                <w:rFonts w:ascii="Verdana" w:eastAsia="Cambria" w:hAnsi="Verdana" w:cs="Times New Roman"/>
                <w:b/>
                <w:sz w:val="20"/>
                <w:szCs w:val="20"/>
              </w:rPr>
            </w:pPr>
            <w:r>
              <w:rPr>
                <w:rFonts w:ascii="Verdana" w:eastAsia="Cambria" w:hAnsi="Verdana" w:cs="Times New Roman"/>
                <w:b/>
                <w:sz w:val="20"/>
                <w:szCs w:val="20"/>
              </w:rPr>
              <w:t>Leto 2017</w:t>
            </w:r>
          </w:p>
        </w:tc>
      </w:tr>
      <w:tr w:rsidR="003D7AF8" w:rsidRPr="001530DF" w14:paraId="09D9A5DD" w14:textId="77777777" w:rsidTr="00E07F6C">
        <w:trPr>
          <w:trHeight w:val="306"/>
        </w:trPr>
        <w:tc>
          <w:tcPr>
            <w:tcW w:w="5425" w:type="dxa"/>
            <w:shd w:val="clear" w:color="auto" w:fill="B8CCE4"/>
          </w:tcPr>
          <w:p w14:paraId="76E3468E"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ISCED</w:t>
            </w:r>
            <w:r>
              <w:rPr>
                <w:rFonts w:ascii="Verdana" w:eastAsia="Cambria" w:hAnsi="Verdana" w:cs="Times New Roman"/>
                <w:sz w:val="20"/>
                <w:szCs w:val="20"/>
              </w:rPr>
              <w:t xml:space="preserve"> 1997</w:t>
            </w:r>
          </w:p>
        </w:tc>
        <w:tc>
          <w:tcPr>
            <w:tcW w:w="2268" w:type="dxa"/>
            <w:shd w:val="clear" w:color="auto" w:fill="B8CCE4"/>
          </w:tcPr>
          <w:p w14:paraId="0816A9E1"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Št. akreditiranih programov</w:t>
            </w:r>
          </w:p>
        </w:tc>
        <w:tc>
          <w:tcPr>
            <w:tcW w:w="2268" w:type="dxa"/>
            <w:shd w:val="clear" w:color="auto" w:fill="B8CCE4"/>
          </w:tcPr>
          <w:p w14:paraId="687FCC9E"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 akreditiranih programov</w:t>
            </w:r>
          </w:p>
        </w:tc>
      </w:tr>
      <w:tr w:rsidR="003D7AF8" w:rsidRPr="001530DF" w14:paraId="61CD9069" w14:textId="77777777" w:rsidTr="00E07F6C">
        <w:trPr>
          <w:trHeight w:val="227"/>
        </w:trPr>
        <w:tc>
          <w:tcPr>
            <w:tcW w:w="5425" w:type="dxa"/>
            <w:shd w:val="clear" w:color="auto" w:fill="FFFFFF"/>
          </w:tcPr>
          <w:p w14:paraId="7DBCC84D"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(14) izobraževalne vede in izobraževanje učiteljev</w:t>
            </w:r>
          </w:p>
        </w:tc>
        <w:tc>
          <w:tcPr>
            <w:tcW w:w="2268" w:type="dxa"/>
            <w:shd w:val="clear" w:color="auto" w:fill="FFFFFF"/>
            <w:vAlign w:val="center"/>
          </w:tcPr>
          <w:p w14:paraId="4E5D3AF1"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c>
          <w:tcPr>
            <w:tcW w:w="2268" w:type="dxa"/>
            <w:shd w:val="clear" w:color="auto" w:fill="FFFFFF"/>
            <w:vAlign w:val="center"/>
          </w:tcPr>
          <w:p w14:paraId="69AB0AE3"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r>
      <w:tr w:rsidR="003D7AF8" w:rsidRPr="001530DF" w14:paraId="398E50B6" w14:textId="77777777" w:rsidTr="00E07F6C">
        <w:trPr>
          <w:trHeight w:val="221"/>
        </w:trPr>
        <w:tc>
          <w:tcPr>
            <w:tcW w:w="5425" w:type="dxa"/>
            <w:shd w:val="clear" w:color="auto" w:fill="FFFFFF"/>
          </w:tcPr>
          <w:p w14:paraId="262A0634"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(21) umetnost</w:t>
            </w:r>
          </w:p>
        </w:tc>
        <w:tc>
          <w:tcPr>
            <w:tcW w:w="2268" w:type="dxa"/>
            <w:shd w:val="clear" w:color="auto" w:fill="FFFFFF"/>
            <w:vAlign w:val="center"/>
          </w:tcPr>
          <w:p w14:paraId="353CCE9C"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c>
          <w:tcPr>
            <w:tcW w:w="2268" w:type="dxa"/>
            <w:shd w:val="clear" w:color="auto" w:fill="FFFFFF"/>
            <w:vAlign w:val="center"/>
          </w:tcPr>
          <w:p w14:paraId="78CF08B7"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r>
      <w:tr w:rsidR="003D7AF8" w:rsidRPr="001530DF" w14:paraId="5E45E46B" w14:textId="77777777" w:rsidTr="00E07F6C">
        <w:trPr>
          <w:trHeight w:val="221"/>
        </w:trPr>
        <w:tc>
          <w:tcPr>
            <w:tcW w:w="5425" w:type="dxa"/>
            <w:shd w:val="clear" w:color="auto" w:fill="FFFFFF"/>
          </w:tcPr>
          <w:p w14:paraId="23BB3641"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(22) humanistične vede</w:t>
            </w:r>
          </w:p>
        </w:tc>
        <w:tc>
          <w:tcPr>
            <w:tcW w:w="2268" w:type="dxa"/>
            <w:shd w:val="clear" w:color="auto" w:fill="FFFFFF"/>
            <w:vAlign w:val="center"/>
          </w:tcPr>
          <w:p w14:paraId="601D10D0"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3</w:t>
            </w:r>
          </w:p>
        </w:tc>
        <w:tc>
          <w:tcPr>
            <w:tcW w:w="2268" w:type="dxa"/>
            <w:shd w:val="clear" w:color="auto" w:fill="FFFFFF"/>
            <w:vAlign w:val="center"/>
          </w:tcPr>
          <w:p w14:paraId="561AD40D"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7,7</w:t>
            </w:r>
          </w:p>
        </w:tc>
      </w:tr>
      <w:tr w:rsidR="003D7AF8" w:rsidRPr="001530DF" w14:paraId="64BC751E" w14:textId="77777777" w:rsidTr="00E07F6C">
        <w:trPr>
          <w:trHeight w:val="221"/>
        </w:trPr>
        <w:tc>
          <w:tcPr>
            <w:tcW w:w="5425" w:type="dxa"/>
            <w:shd w:val="clear" w:color="auto" w:fill="FFFFFF"/>
          </w:tcPr>
          <w:p w14:paraId="3A58B3B7"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(31) družbene vede</w:t>
            </w:r>
          </w:p>
        </w:tc>
        <w:tc>
          <w:tcPr>
            <w:tcW w:w="2268" w:type="dxa"/>
            <w:shd w:val="clear" w:color="auto" w:fill="FFFFFF"/>
            <w:vAlign w:val="center"/>
          </w:tcPr>
          <w:p w14:paraId="77F33AF5"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21</w:t>
            </w:r>
          </w:p>
        </w:tc>
        <w:tc>
          <w:tcPr>
            <w:tcW w:w="2268" w:type="dxa"/>
            <w:shd w:val="clear" w:color="auto" w:fill="FFFFFF"/>
            <w:vAlign w:val="center"/>
          </w:tcPr>
          <w:p w14:paraId="4929D425"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53,8</w:t>
            </w:r>
          </w:p>
        </w:tc>
      </w:tr>
      <w:tr w:rsidR="003D7AF8" w:rsidRPr="001530DF" w14:paraId="50C726C8" w14:textId="77777777" w:rsidTr="00E07F6C">
        <w:trPr>
          <w:trHeight w:val="221"/>
        </w:trPr>
        <w:tc>
          <w:tcPr>
            <w:tcW w:w="5425" w:type="dxa"/>
            <w:shd w:val="clear" w:color="auto" w:fill="FFFFFF"/>
          </w:tcPr>
          <w:p w14:paraId="2CE5EC65"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(32) novinarstvo in informiranje</w:t>
            </w:r>
          </w:p>
        </w:tc>
        <w:tc>
          <w:tcPr>
            <w:tcW w:w="2268" w:type="dxa"/>
            <w:shd w:val="clear" w:color="auto" w:fill="FFFFFF"/>
            <w:vAlign w:val="center"/>
          </w:tcPr>
          <w:p w14:paraId="0BAAB922"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3</w:t>
            </w:r>
          </w:p>
        </w:tc>
        <w:tc>
          <w:tcPr>
            <w:tcW w:w="2268" w:type="dxa"/>
            <w:shd w:val="clear" w:color="auto" w:fill="FFFFFF"/>
            <w:vAlign w:val="center"/>
          </w:tcPr>
          <w:p w14:paraId="2F8D0A0B"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7,7</w:t>
            </w:r>
          </w:p>
        </w:tc>
      </w:tr>
      <w:tr w:rsidR="003D7AF8" w:rsidRPr="001530DF" w14:paraId="1CBBA5C5" w14:textId="77777777" w:rsidTr="00E07F6C">
        <w:trPr>
          <w:trHeight w:val="221"/>
        </w:trPr>
        <w:tc>
          <w:tcPr>
            <w:tcW w:w="5425" w:type="dxa"/>
            <w:shd w:val="clear" w:color="auto" w:fill="FFFFFF"/>
          </w:tcPr>
          <w:p w14:paraId="032797E2"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(34) poslovne in upravne vede</w:t>
            </w:r>
          </w:p>
        </w:tc>
        <w:tc>
          <w:tcPr>
            <w:tcW w:w="2268" w:type="dxa"/>
            <w:shd w:val="clear" w:color="auto" w:fill="FFFFFF"/>
            <w:vAlign w:val="center"/>
          </w:tcPr>
          <w:p w14:paraId="20FA68AF"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6</w:t>
            </w:r>
          </w:p>
        </w:tc>
        <w:tc>
          <w:tcPr>
            <w:tcW w:w="2268" w:type="dxa"/>
            <w:shd w:val="clear" w:color="auto" w:fill="FFFFFF"/>
            <w:vAlign w:val="center"/>
          </w:tcPr>
          <w:p w14:paraId="418EC22A"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15,4</w:t>
            </w:r>
          </w:p>
        </w:tc>
      </w:tr>
      <w:tr w:rsidR="003D7AF8" w:rsidRPr="001530DF" w14:paraId="280F2106" w14:textId="77777777" w:rsidTr="00E07F6C">
        <w:trPr>
          <w:trHeight w:val="221"/>
        </w:trPr>
        <w:tc>
          <w:tcPr>
            <w:tcW w:w="5425" w:type="dxa"/>
            <w:shd w:val="clear" w:color="auto" w:fill="FFFFFF"/>
          </w:tcPr>
          <w:p w14:paraId="65D3283E"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(38) pravo</w:t>
            </w:r>
          </w:p>
        </w:tc>
        <w:tc>
          <w:tcPr>
            <w:tcW w:w="2268" w:type="dxa"/>
            <w:shd w:val="clear" w:color="auto" w:fill="FFFFFF"/>
            <w:vAlign w:val="center"/>
          </w:tcPr>
          <w:p w14:paraId="70BBBCC5"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c>
          <w:tcPr>
            <w:tcW w:w="2268" w:type="dxa"/>
            <w:shd w:val="clear" w:color="auto" w:fill="FFFFFF"/>
            <w:vAlign w:val="center"/>
          </w:tcPr>
          <w:p w14:paraId="6D45C122"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r>
      <w:tr w:rsidR="003D7AF8" w:rsidRPr="001530DF" w14:paraId="2730F6BA" w14:textId="77777777" w:rsidTr="00E07F6C">
        <w:trPr>
          <w:trHeight w:val="221"/>
        </w:trPr>
        <w:tc>
          <w:tcPr>
            <w:tcW w:w="5425" w:type="dxa"/>
            <w:shd w:val="clear" w:color="auto" w:fill="FFFFFF"/>
          </w:tcPr>
          <w:p w14:paraId="6772BDC4"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(44) vede o neživi naravi</w:t>
            </w:r>
          </w:p>
        </w:tc>
        <w:tc>
          <w:tcPr>
            <w:tcW w:w="2268" w:type="dxa"/>
            <w:shd w:val="clear" w:color="auto" w:fill="FFFFFF"/>
            <w:vAlign w:val="center"/>
          </w:tcPr>
          <w:p w14:paraId="37E6F932"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1</w:t>
            </w:r>
          </w:p>
        </w:tc>
        <w:tc>
          <w:tcPr>
            <w:tcW w:w="2268" w:type="dxa"/>
            <w:shd w:val="clear" w:color="auto" w:fill="FFFFFF"/>
            <w:vAlign w:val="center"/>
          </w:tcPr>
          <w:p w14:paraId="32F2C9B5"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2,6</w:t>
            </w:r>
          </w:p>
        </w:tc>
      </w:tr>
      <w:tr w:rsidR="003D7AF8" w:rsidRPr="001530DF" w14:paraId="7CCAFB1E" w14:textId="77777777" w:rsidTr="00E07F6C">
        <w:trPr>
          <w:trHeight w:val="221"/>
        </w:trPr>
        <w:tc>
          <w:tcPr>
            <w:tcW w:w="5425" w:type="dxa"/>
            <w:shd w:val="clear" w:color="auto" w:fill="FFFFFF"/>
          </w:tcPr>
          <w:p w14:paraId="1C760C79"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(46) matematika in statistika</w:t>
            </w:r>
          </w:p>
        </w:tc>
        <w:tc>
          <w:tcPr>
            <w:tcW w:w="2268" w:type="dxa"/>
            <w:shd w:val="clear" w:color="auto" w:fill="FFFFFF"/>
            <w:vAlign w:val="center"/>
          </w:tcPr>
          <w:p w14:paraId="77C93BB2"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c>
          <w:tcPr>
            <w:tcW w:w="2268" w:type="dxa"/>
            <w:shd w:val="clear" w:color="auto" w:fill="FFFFFF"/>
            <w:vAlign w:val="center"/>
          </w:tcPr>
          <w:p w14:paraId="7E040F46"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r>
      <w:tr w:rsidR="003D7AF8" w:rsidRPr="001530DF" w14:paraId="4F9C72B5" w14:textId="77777777" w:rsidTr="00E07F6C">
        <w:trPr>
          <w:trHeight w:val="221"/>
        </w:trPr>
        <w:tc>
          <w:tcPr>
            <w:tcW w:w="5425" w:type="dxa"/>
            <w:shd w:val="clear" w:color="auto" w:fill="FFFFFF"/>
          </w:tcPr>
          <w:p w14:paraId="1210B67F"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(48) računalništvo</w:t>
            </w:r>
          </w:p>
        </w:tc>
        <w:tc>
          <w:tcPr>
            <w:tcW w:w="2268" w:type="dxa"/>
            <w:shd w:val="clear" w:color="auto" w:fill="FFFFFF"/>
            <w:vAlign w:val="center"/>
          </w:tcPr>
          <w:p w14:paraId="2635DEB6"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c>
          <w:tcPr>
            <w:tcW w:w="2268" w:type="dxa"/>
            <w:shd w:val="clear" w:color="auto" w:fill="FFFFFF"/>
            <w:vAlign w:val="center"/>
          </w:tcPr>
          <w:p w14:paraId="7BADA4E9"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r>
      <w:tr w:rsidR="003D7AF8" w:rsidRPr="001530DF" w14:paraId="0745335D" w14:textId="77777777" w:rsidTr="00E07F6C">
        <w:trPr>
          <w:trHeight w:val="221"/>
        </w:trPr>
        <w:tc>
          <w:tcPr>
            <w:tcW w:w="5425" w:type="dxa"/>
            <w:shd w:val="clear" w:color="auto" w:fill="FFFFFF"/>
          </w:tcPr>
          <w:p w14:paraId="3FE97188"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(52)</w:t>
            </w:r>
            <w:r w:rsidRPr="001530DF">
              <w:rPr>
                <w:rFonts w:ascii="Cambria" w:eastAsia="Cambria" w:hAnsi="Cambria" w:cs="Times New Roman"/>
                <w:sz w:val="20"/>
                <w:szCs w:val="20"/>
              </w:rPr>
              <w:t xml:space="preserve"> </w:t>
            </w:r>
            <w:r w:rsidRPr="001530DF">
              <w:rPr>
                <w:rFonts w:ascii="Verdana" w:eastAsia="Cambria" w:hAnsi="Verdana" w:cs="Times New Roman"/>
                <w:sz w:val="20"/>
                <w:szCs w:val="20"/>
              </w:rPr>
              <w:t>tehniške vede</w:t>
            </w:r>
          </w:p>
        </w:tc>
        <w:tc>
          <w:tcPr>
            <w:tcW w:w="2268" w:type="dxa"/>
            <w:shd w:val="clear" w:color="auto" w:fill="FFFFFF"/>
            <w:vAlign w:val="center"/>
          </w:tcPr>
          <w:p w14:paraId="79B537D5"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1</w:t>
            </w:r>
          </w:p>
        </w:tc>
        <w:tc>
          <w:tcPr>
            <w:tcW w:w="2268" w:type="dxa"/>
            <w:shd w:val="clear" w:color="auto" w:fill="FFFFFF"/>
            <w:vAlign w:val="center"/>
          </w:tcPr>
          <w:p w14:paraId="382BE6E2"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2,6</w:t>
            </w:r>
          </w:p>
        </w:tc>
      </w:tr>
      <w:tr w:rsidR="003D7AF8" w:rsidRPr="001530DF" w14:paraId="51D5BBF1" w14:textId="77777777" w:rsidTr="00E07F6C">
        <w:trPr>
          <w:trHeight w:val="221"/>
        </w:trPr>
        <w:tc>
          <w:tcPr>
            <w:tcW w:w="5425" w:type="dxa"/>
            <w:shd w:val="clear" w:color="auto" w:fill="FFFFFF"/>
          </w:tcPr>
          <w:p w14:paraId="04D0204D"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(54) proizvodne tehnologije</w:t>
            </w:r>
          </w:p>
        </w:tc>
        <w:tc>
          <w:tcPr>
            <w:tcW w:w="2268" w:type="dxa"/>
            <w:shd w:val="clear" w:color="auto" w:fill="FFFFFF"/>
            <w:vAlign w:val="center"/>
          </w:tcPr>
          <w:p w14:paraId="3F73CF36"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c>
          <w:tcPr>
            <w:tcW w:w="2268" w:type="dxa"/>
            <w:shd w:val="clear" w:color="auto" w:fill="FFFFFF"/>
            <w:vAlign w:val="center"/>
          </w:tcPr>
          <w:p w14:paraId="58E12F05"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r>
      <w:tr w:rsidR="003D7AF8" w:rsidRPr="001530DF" w14:paraId="59697B21" w14:textId="77777777" w:rsidTr="00E07F6C">
        <w:trPr>
          <w:trHeight w:val="221"/>
        </w:trPr>
        <w:tc>
          <w:tcPr>
            <w:tcW w:w="5425" w:type="dxa"/>
            <w:shd w:val="clear" w:color="auto" w:fill="FFFFFF"/>
          </w:tcPr>
          <w:p w14:paraId="0F97E053"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(58) arhitektura in gradbeništvo</w:t>
            </w:r>
          </w:p>
        </w:tc>
        <w:tc>
          <w:tcPr>
            <w:tcW w:w="2268" w:type="dxa"/>
            <w:shd w:val="clear" w:color="auto" w:fill="FFFFFF"/>
            <w:vAlign w:val="center"/>
          </w:tcPr>
          <w:p w14:paraId="5085867A"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1</w:t>
            </w:r>
          </w:p>
        </w:tc>
        <w:tc>
          <w:tcPr>
            <w:tcW w:w="2268" w:type="dxa"/>
            <w:shd w:val="clear" w:color="auto" w:fill="FFFFFF"/>
            <w:vAlign w:val="center"/>
          </w:tcPr>
          <w:p w14:paraId="2D84C43F"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2,6</w:t>
            </w:r>
          </w:p>
        </w:tc>
      </w:tr>
      <w:tr w:rsidR="003D7AF8" w:rsidRPr="001530DF" w14:paraId="778938D6" w14:textId="77777777" w:rsidTr="00E07F6C">
        <w:trPr>
          <w:trHeight w:val="221"/>
        </w:trPr>
        <w:tc>
          <w:tcPr>
            <w:tcW w:w="5425" w:type="dxa"/>
            <w:shd w:val="clear" w:color="auto" w:fill="FFFFFF"/>
          </w:tcPr>
          <w:p w14:paraId="3EA57D73"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(64)</w:t>
            </w:r>
            <w:r w:rsidRPr="001530DF">
              <w:rPr>
                <w:rFonts w:ascii="Cambria" w:eastAsia="Cambria" w:hAnsi="Cambria" w:cs="Times New Roman"/>
                <w:sz w:val="20"/>
                <w:szCs w:val="20"/>
              </w:rPr>
              <w:t xml:space="preserve"> </w:t>
            </w:r>
            <w:r w:rsidRPr="001530DF">
              <w:rPr>
                <w:rFonts w:ascii="Verdana" w:eastAsia="Cambria" w:hAnsi="Verdana" w:cs="Times New Roman"/>
                <w:sz w:val="20"/>
                <w:szCs w:val="20"/>
              </w:rPr>
              <w:t>veterinarstvo</w:t>
            </w:r>
          </w:p>
        </w:tc>
        <w:tc>
          <w:tcPr>
            <w:tcW w:w="2268" w:type="dxa"/>
            <w:shd w:val="clear" w:color="auto" w:fill="FFFFFF"/>
            <w:vAlign w:val="center"/>
          </w:tcPr>
          <w:p w14:paraId="6DCA8429"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c>
          <w:tcPr>
            <w:tcW w:w="2268" w:type="dxa"/>
            <w:shd w:val="clear" w:color="auto" w:fill="FFFFFF"/>
            <w:vAlign w:val="center"/>
          </w:tcPr>
          <w:p w14:paraId="0D3CFB81"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r>
      <w:tr w:rsidR="003D7AF8" w:rsidRPr="001530DF" w14:paraId="0C1C24E4" w14:textId="77777777" w:rsidTr="00E07F6C">
        <w:trPr>
          <w:trHeight w:val="221"/>
        </w:trPr>
        <w:tc>
          <w:tcPr>
            <w:tcW w:w="5425" w:type="dxa"/>
            <w:shd w:val="clear" w:color="auto" w:fill="FFFFFF"/>
          </w:tcPr>
          <w:p w14:paraId="665653B0"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(72)</w:t>
            </w:r>
            <w:r w:rsidRPr="001530DF">
              <w:rPr>
                <w:rFonts w:ascii="Cambria" w:eastAsia="Cambria" w:hAnsi="Cambria" w:cs="Times New Roman"/>
                <w:sz w:val="20"/>
                <w:szCs w:val="20"/>
              </w:rPr>
              <w:t xml:space="preserve"> </w:t>
            </w:r>
            <w:r w:rsidRPr="001530DF">
              <w:rPr>
                <w:rFonts w:ascii="Verdana" w:eastAsia="Cambria" w:hAnsi="Verdana" w:cs="Times New Roman"/>
                <w:sz w:val="20"/>
                <w:szCs w:val="20"/>
              </w:rPr>
              <w:t>zdravstvo</w:t>
            </w:r>
          </w:p>
        </w:tc>
        <w:tc>
          <w:tcPr>
            <w:tcW w:w="2268" w:type="dxa"/>
            <w:shd w:val="clear" w:color="auto" w:fill="FFFFFF"/>
            <w:vAlign w:val="center"/>
          </w:tcPr>
          <w:p w14:paraId="18D58126"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2</w:t>
            </w:r>
          </w:p>
        </w:tc>
        <w:tc>
          <w:tcPr>
            <w:tcW w:w="2268" w:type="dxa"/>
            <w:shd w:val="clear" w:color="auto" w:fill="FFFFFF"/>
            <w:vAlign w:val="center"/>
          </w:tcPr>
          <w:p w14:paraId="51C84C18"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5,1</w:t>
            </w:r>
          </w:p>
        </w:tc>
      </w:tr>
      <w:tr w:rsidR="003D7AF8" w:rsidRPr="001530DF" w14:paraId="05B26E69" w14:textId="77777777" w:rsidTr="00E07F6C">
        <w:trPr>
          <w:trHeight w:val="221"/>
        </w:trPr>
        <w:tc>
          <w:tcPr>
            <w:tcW w:w="5425" w:type="dxa"/>
            <w:shd w:val="clear" w:color="auto" w:fill="FFFFFF"/>
          </w:tcPr>
          <w:p w14:paraId="2EBFEF15"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(81)</w:t>
            </w:r>
            <w:r w:rsidRPr="001530DF">
              <w:rPr>
                <w:rFonts w:ascii="Cambria" w:eastAsia="Cambria" w:hAnsi="Cambria" w:cs="Times New Roman"/>
                <w:sz w:val="20"/>
                <w:szCs w:val="20"/>
              </w:rPr>
              <w:t xml:space="preserve"> </w:t>
            </w:r>
            <w:r w:rsidRPr="001530DF">
              <w:rPr>
                <w:rFonts w:ascii="Verdana" w:eastAsia="Cambria" w:hAnsi="Verdana" w:cs="Times New Roman"/>
                <w:sz w:val="20"/>
                <w:szCs w:val="20"/>
              </w:rPr>
              <w:t>osebne storitve</w:t>
            </w:r>
          </w:p>
        </w:tc>
        <w:tc>
          <w:tcPr>
            <w:tcW w:w="2268" w:type="dxa"/>
            <w:shd w:val="clear" w:color="auto" w:fill="FFFFFF"/>
            <w:vAlign w:val="center"/>
          </w:tcPr>
          <w:p w14:paraId="1443D192"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c>
          <w:tcPr>
            <w:tcW w:w="2268" w:type="dxa"/>
            <w:shd w:val="clear" w:color="auto" w:fill="FFFFFF"/>
            <w:vAlign w:val="center"/>
          </w:tcPr>
          <w:p w14:paraId="08CB98D2"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r>
      <w:tr w:rsidR="003D7AF8" w:rsidRPr="001530DF" w14:paraId="74D31442" w14:textId="77777777" w:rsidTr="00E07F6C">
        <w:trPr>
          <w:trHeight w:val="221"/>
        </w:trPr>
        <w:tc>
          <w:tcPr>
            <w:tcW w:w="5425" w:type="dxa"/>
            <w:shd w:val="clear" w:color="auto" w:fill="FFFFFF"/>
          </w:tcPr>
          <w:p w14:paraId="29425583"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(84)</w:t>
            </w:r>
            <w:r w:rsidRPr="001530DF">
              <w:rPr>
                <w:rFonts w:ascii="Cambria" w:eastAsia="Cambria" w:hAnsi="Cambria" w:cs="Times New Roman"/>
                <w:sz w:val="20"/>
                <w:szCs w:val="20"/>
              </w:rPr>
              <w:t xml:space="preserve"> </w:t>
            </w:r>
            <w:r w:rsidRPr="001530DF">
              <w:rPr>
                <w:rFonts w:ascii="Verdana" w:eastAsia="Cambria" w:hAnsi="Verdana" w:cs="Times New Roman"/>
                <w:sz w:val="20"/>
                <w:szCs w:val="20"/>
              </w:rPr>
              <w:t>transportne storitve</w:t>
            </w:r>
          </w:p>
        </w:tc>
        <w:tc>
          <w:tcPr>
            <w:tcW w:w="2268" w:type="dxa"/>
            <w:shd w:val="clear" w:color="auto" w:fill="FFFFFF"/>
            <w:vAlign w:val="center"/>
          </w:tcPr>
          <w:p w14:paraId="70D7523C"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c>
          <w:tcPr>
            <w:tcW w:w="2268" w:type="dxa"/>
            <w:shd w:val="clear" w:color="auto" w:fill="FFFFFF"/>
            <w:vAlign w:val="center"/>
          </w:tcPr>
          <w:p w14:paraId="0F7ACB39"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r>
      <w:tr w:rsidR="003D7AF8" w:rsidRPr="001530DF" w14:paraId="5FE2DC80" w14:textId="77777777" w:rsidTr="00E07F6C">
        <w:trPr>
          <w:trHeight w:val="221"/>
        </w:trPr>
        <w:tc>
          <w:tcPr>
            <w:tcW w:w="5425" w:type="dxa"/>
            <w:shd w:val="clear" w:color="auto" w:fill="FFFFFF"/>
          </w:tcPr>
          <w:p w14:paraId="60BD1DE9"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(85)</w:t>
            </w:r>
            <w:r w:rsidRPr="001530DF">
              <w:rPr>
                <w:rFonts w:ascii="Cambria" w:eastAsia="Cambria" w:hAnsi="Cambria" w:cs="Times New Roman"/>
                <w:sz w:val="20"/>
                <w:szCs w:val="20"/>
              </w:rPr>
              <w:t xml:space="preserve"> </w:t>
            </w:r>
            <w:r w:rsidRPr="001530DF">
              <w:rPr>
                <w:rFonts w:ascii="Verdana" w:eastAsia="Cambria" w:hAnsi="Verdana" w:cs="Times New Roman"/>
                <w:sz w:val="20"/>
                <w:szCs w:val="20"/>
              </w:rPr>
              <w:t>varstvo okolja</w:t>
            </w:r>
          </w:p>
        </w:tc>
        <w:tc>
          <w:tcPr>
            <w:tcW w:w="2268" w:type="dxa"/>
            <w:shd w:val="clear" w:color="auto" w:fill="FFFFFF"/>
            <w:vAlign w:val="center"/>
          </w:tcPr>
          <w:p w14:paraId="52317040"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c>
          <w:tcPr>
            <w:tcW w:w="2268" w:type="dxa"/>
            <w:shd w:val="clear" w:color="auto" w:fill="FFFFFF"/>
            <w:vAlign w:val="center"/>
          </w:tcPr>
          <w:p w14:paraId="4DAC23B6"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r>
      <w:tr w:rsidR="003D7AF8" w:rsidRPr="001530DF" w14:paraId="68A0A105" w14:textId="77777777" w:rsidTr="00E07F6C">
        <w:trPr>
          <w:trHeight w:val="221"/>
        </w:trPr>
        <w:tc>
          <w:tcPr>
            <w:tcW w:w="5425" w:type="dxa"/>
            <w:shd w:val="clear" w:color="auto" w:fill="FFFFFF"/>
          </w:tcPr>
          <w:p w14:paraId="1D31FD1C"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(86)</w:t>
            </w:r>
            <w:r w:rsidRPr="001530DF">
              <w:rPr>
                <w:rFonts w:ascii="Cambria" w:eastAsia="Cambria" w:hAnsi="Cambria" w:cs="Times New Roman"/>
                <w:sz w:val="20"/>
                <w:szCs w:val="20"/>
              </w:rPr>
              <w:t xml:space="preserve"> </w:t>
            </w:r>
            <w:r w:rsidRPr="001530DF">
              <w:rPr>
                <w:rFonts w:ascii="Verdana" w:eastAsia="Cambria" w:hAnsi="Verdana" w:cs="Times New Roman"/>
                <w:sz w:val="20"/>
                <w:szCs w:val="20"/>
              </w:rPr>
              <w:t>varnost</w:t>
            </w:r>
          </w:p>
        </w:tc>
        <w:tc>
          <w:tcPr>
            <w:tcW w:w="2268" w:type="dxa"/>
            <w:shd w:val="clear" w:color="auto" w:fill="FFFFFF"/>
            <w:vAlign w:val="center"/>
          </w:tcPr>
          <w:p w14:paraId="21C7D026"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c>
          <w:tcPr>
            <w:tcW w:w="2268" w:type="dxa"/>
            <w:shd w:val="clear" w:color="auto" w:fill="FFFFFF"/>
            <w:vAlign w:val="center"/>
          </w:tcPr>
          <w:p w14:paraId="09890565"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r>
      <w:tr w:rsidR="003D7AF8" w:rsidRPr="001530DF" w14:paraId="121CF96B" w14:textId="77777777" w:rsidTr="00E07F6C">
        <w:trPr>
          <w:trHeight w:val="221"/>
        </w:trPr>
        <w:tc>
          <w:tcPr>
            <w:tcW w:w="5425" w:type="dxa"/>
            <w:shd w:val="clear" w:color="auto" w:fill="FFFFFF"/>
          </w:tcPr>
          <w:p w14:paraId="754E38E5"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interdisciplinarni</w:t>
            </w:r>
          </w:p>
        </w:tc>
        <w:tc>
          <w:tcPr>
            <w:tcW w:w="2268" w:type="dxa"/>
            <w:shd w:val="clear" w:color="auto" w:fill="FFFFFF"/>
            <w:vAlign w:val="center"/>
          </w:tcPr>
          <w:p w14:paraId="54E9A19A"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1</w:t>
            </w:r>
          </w:p>
        </w:tc>
        <w:tc>
          <w:tcPr>
            <w:tcW w:w="2268" w:type="dxa"/>
            <w:shd w:val="clear" w:color="auto" w:fill="FFFFFF"/>
            <w:vAlign w:val="center"/>
          </w:tcPr>
          <w:p w14:paraId="21E966E4"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2,6</w:t>
            </w:r>
          </w:p>
        </w:tc>
      </w:tr>
      <w:tr w:rsidR="003D7AF8" w:rsidRPr="001530DF" w14:paraId="15B7D5F4" w14:textId="77777777" w:rsidTr="00E07F6C">
        <w:trPr>
          <w:trHeight w:val="221"/>
        </w:trPr>
        <w:tc>
          <w:tcPr>
            <w:tcW w:w="5425" w:type="dxa"/>
            <w:shd w:val="clear" w:color="auto" w:fill="FFFFFF"/>
          </w:tcPr>
          <w:p w14:paraId="7C99475F"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Skupaj</w:t>
            </w:r>
          </w:p>
        </w:tc>
        <w:tc>
          <w:tcPr>
            <w:tcW w:w="2268" w:type="dxa"/>
            <w:shd w:val="clear" w:color="auto" w:fill="FFFFFF"/>
            <w:vAlign w:val="center"/>
          </w:tcPr>
          <w:p w14:paraId="1F540EFC" w14:textId="77777777" w:rsidR="003D7AF8" w:rsidRPr="0064627E" w:rsidRDefault="003D7AF8" w:rsidP="000C6F9E">
            <w:pPr>
              <w:spacing w:after="0" w:line="240" w:lineRule="auto"/>
              <w:rPr>
                <w:rFonts w:ascii="Verdana" w:eastAsia="Cambria" w:hAnsi="Verdana" w:cs="Times New Roman"/>
                <w:b/>
                <w:sz w:val="20"/>
                <w:szCs w:val="20"/>
              </w:rPr>
            </w:pPr>
            <w:r w:rsidRPr="0064627E">
              <w:rPr>
                <w:rFonts w:ascii="Verdana" w:eastAsia="Cambria" w:hAnsi="Verdana" w:cs="Times New Roman"/>
                <w:b/>
                <w:sz w:val="20"/>
                <w:szCs w:val="20"/>
              </w:rPr>
              <w:t>39</w:t>
            </w:r>
          </w:p>
        </w:tc>
        <w:tc>
          <w:tcPr>
            <w:tcW w:w="2268" w:type="dxa"/>
            <w:shd w:val="clear" w:color="auto" w:fill="FFFFFF"/>
            <w:vAlign w:val="center"/>
          </w:tcPr>
          <w:p w14:paraId="76CF9C9B"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100</w:t>
            </w:r>
          </w:p>
        </w:tc>
      </w:tr>
      <w:tr w:rsidR="003D7AF8" w:rsidRPr="001530DF" w14:paraId="006096A3" w14:textId="77777777" w:rsidTr="00E07F6C">
        <w:trPr>
          <w:trHeight w:val="20"/>
        </w:trPr>
        <w:tc>
          <w:tcPr>
            <w:tcW w:w="9961" w:type="dxa"/>
            <w:gridSpan w:val="3"/>
            <w:shd w:val="clear" w:color="auto" w:fill="B8CCE4"/>
            <w:vAlign w:val="center"/>
          </w:tcPr>
          <w:p w14:paraId="4897BDFE" w14:textId="77777777" w:rsidR="003D7AF8" w:rsidRPr="001530DF" w:rsidRDefault="003D7AF8" w:rsidP="000C6F9E">
            <w:pPr>
              <w:spacing w:after="0" w:line="240" w:lineRule="auto"/>
              <w:rPr>
                <w:rFonts w:ascii="Verdana" w:eastAsia="Cambria" w:hAnsi="Verdana" w:cs="Times New Roman"/>
                <w:b/>
                <w:sz w:val="20"/>
                <w:szCs w:val="20"/>
              </w:rPr>
            </w:pPr>
            <w:r>
              <w:rPr>
                <w:rFonts w:ascii="Verdana" w:eastAsia="Cambria" w:hAnsi="Verdana" w:cs="Times New Roman"/>
                <w:b/>
                <w:sz w:val="20"/>
                <w:szCs w:val="20"/>
              </w:rPr>
              <w:t>Leto 2018</w:t>
            </w:r>
          </w:p>
        </w:tc>
      </w:tr>
      <w:tr w:rsidR="003D7AF8" w:rsidRPr="001530DF" w14:paraId="2E2BCDEC" w14:textId="77777777" w:rsidTr="00E07F6C">
        <w:trPr>
          <w:trHeight w:val="306"/>
        </w:trPr>
        <w:tc>
          <w:tcPr>
            <w:tcW w:w="5425" w:type="dxa"/>
            <w:shd w:val="clear" w:color="auto" w:fill="B8CCE4"/>
          </w:tcPr>
          <w:p w14:paraId="147FAB22"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ISCED</w:t>
            </w:r>
            <w:r>
              <w:rPr>
                <w:rFonts w:ascii="Verdana" w:eastAsia="Cambria" w:hAnsi="Verdana" w:cs="Times New Roman"/>
                <w:sz w:val="20"/>
                <w:szCs w:val="20"/>
              </w:rPr>
              <w:t>-F 2013</w:t>
            </w:r>
          </w:p>
        </w:tc>
        <w:tc>
          <w:tcPr>
            <w:tcW w:w="2268" w:type="dxa"/>
            <w:shd w:val="clear" w:color="auto" w:fill="B8CCE4"/>
          </w:tcPr>
          <w:p w14:paraId="00D4E883"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Št. akreditiranih programov</w:t>
            </w:r>
          </w:p>
        </w:tc>
        <w:tc>
          <w:tcPr>
            <w:tcW w:w="2268" w:type="dxa"/>
            <w:shd w:val="clear" w:color="auto" w:fill="B8CCE4"/>
          </w:tcPr>
          <w:p w14:paraId="02E88B11" w14:textId="77777777" w:rsidR="003D7AF8" w:rsidRPr="001530DF" w:rsidRDefault="003D7AF8" w:rsidP="000C6F9E">
            <w:pPr>
              <w:spacing w:after="0" w:line="240" w:lineRule="auto"/>
              <w:rPr>
                <w:rFonts w:ascii="Verdana" w:eastAsia="Cambria" w:hAnsi="Verdana" w:cs="Times New Roman"/>
                <w:sz w:val="20"/>
                <w:szCs w:val="20"/>
              </w:rPr>
            </w:pPr>
            <w:r w:rsidRPr="001530DF">
              <w:rPr>
                <w:rFonts w:ascii="Verdana" w:eastAsia="Cambria" w:hAnsi="Verdana" w:cs="Times New Roman"/>
                <w:sz w:val="20"/>
                <w:szCs w:val="20"/>
              </w:rPr>
              <w:t>% akreditiranih programov</w:t>
            </w:r>
          </w:p>
        </w:tc>
      </w:tr>
      <w:tr w:rsidR="003D7AF8" w:rsidRPr="00F244B2" w14:paraId="5A04D4B3" w14:textId="77777777" w:rsidTr="00E07F6C">
        <w:trPr>
          <w:trHeight w:val="306"/>
        </w:trPr>
        <w:tc>
          <w:tcPr>
            <w:tcW w:w="5425" w:type="dxa"/>
            <w:tcBorders>
              <w:top w:val="single" w:sz="6" w:space="0" w:color="993366"/>
              <w:left w:val="single" w:sz="18" w:space="0" w:color="993366"/>
              <w:bottom w:val="single" w:sz="6" w:space="0" w:color="993366"/>
              <w:right w:val="single" w:sz="6" w:space="0" w:color="993366"/>
            </w:tcBorders>
            <w:shd w:val="clear" w:color="auto" w:fill="auto"/>
          </w:tcPr>
          <w:p w14:paraId="6187977D" w14:textId="77777777" w:rsidR="003D7AF8" w:rsidRPr="00F244B2"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(01</w:t>
            </w:r>
            <w:r w:rsidRPr="00F244B2">
              <w:rPr>
                <w:rFonts w:ascii="Verdana" w:eastAsia="Cambria" w:hAnsi="Verdana" w:cs="Times New Roman"/>
                <w:sz w:val="20"/>
                <w:szCs w:val="20"/>
              </w:rPr>
              <w:t xml:space="preserve">) izobraževalne </w:t>
            </w:r>
            <w:r>
              <w:rPr>
                <w:rFonts w:ascii="Verdana" w:eastAsia="Cambria" w:hAnsi="Verdana" w:cs="Times New Roman"/>
                <w:sz w:val="20"/>
                <w:szCs w:val="20"/>
              </w:rPr>
              <w:t>znanosti</w:t>
            </w:r>
            <w:r w:rsidRPr="00F244B2">
              <w:rPr>
                <w:rFonts w:ascii="Verdana" w:eastAsia="Cambria" w:hAnsi="Verdana" w:cs="Times New Roman"/>
                <w:sz w:val="20"/>
                <w:szCs w:val="20"/>
              </w:rPr>
              <w:t xml:space="preserve"> in izobraževanje učiteljev</w:t>
            </w:r>
          </w:p>
        </w:tc>
        <w:tc>
          <w:tcPr>
            <w:tcW w:w="2268" w:type="dxa"/>
            <w:tcBorders>
              <w:top w:val="single" w:sz="6" w:space="0" w:color="993366"/>
              <w:left w:val="single" w:sz="6" w:space="0" w:color="993366"/>
              <w:bottom w:val="single" w:sz="6" w:space="0" w:color="993366"/>
              <w:right w:val="single" w:sz="6" w:space="0" w:color="993366"/>
            </w:tcBorders>
            <w:shd w:val="clear" w:color="auto" w:fill="auto"/>
          </w:tcPr>
          <w:p w14:paraId="29CB7562" w14:textId="77777777" w:rsidR="003D7AF8" w:rsidRPr="00F244B2"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c>
          <w:tcPr>
            <w:tcW w:w="2268" w:type="dxa"/>
            <w:tcBorders>
              <w:top w:val="single" w:sz="6" w:space="0" w:color="993366"/>
              <w:left w:val="single" w:sz="6" w:space="0" w:color="993366"/>
              <w:bottom w:val="single" w:sz="6" w:space="0" w:color="993366"/>
              <w:right w:val="single" w:sz="18" w:space="0" w:color="993366"/>
            </w:tcBorders>
            <w:shd w:val="clear" w:color="auto" w:fill="auto"/>
          </w:tcPr>
          <w:p w14:paraId="7D630006" w14:textId="77777777" w:rsidR="003D7AF8" w:rsidRPr="00F244B2" w:rsidRDefault="003D7AF8" w:rsidP="000C6F9E">
            <w:pPr>
              <w:spacing w:after="0" w:line="240" w:lineRule="auto"/>
              <w:rPr>
                <w:rFonts w:ascii="Verdana" w:eastAsia="Cambria" w:hAnsi="Verdana" w:cs="Times New Roman"/>
                <w:sz w:val="20"/>
                <w:szCs w:val="20"/>
              </w:rPr>
            </w:pPr>
          </w:p>
        </w:tc>
      </w:tr>
      <w:tr w:rsidR="003D7AF8" w:rsidRPr="00F244B2" w14:paraId="2B4B97D4" w14:textId="77777777" w:rsidTr="00E07F6C">
        <w:trPr>
          <w:trHeight w:val="306"/>
        </w:trPr>
        <w:tc>
          <w:tcPr>
            <w:tcW w:w="5425" w:type="dxa"/>
            <w:tcBorders>
              <w:top w:val="single" w:sz="6" w:space="0" w:color="993366"/>
              <w:left w:val="single" w:sz="18" w:space="0" w:color="993366"/>
              <w:bottom w:val="single" w:sz="6" w:space="0" w:color="993366"/>
              <w:right w:val="single" w:sz="6" w:space="0" w:color="993366"/>
            </w:tcBorders>
            <w:shd w:val="clear" w:color="auto" w:fill="auto"/>
          </w:tcPr>
          <w:p w14:paraId="0660ADE0" w14:textId="77777777" w:rsidR="003D7AF8" w:rsidRPr="00F244B2" w:rsidRDefault="003D7AF8" w:rsidP="000C6F9E">
            <w:pPr>
              <w:spacing w:after="0" w:line="240" w:lineRule="auto"/>
              <w:rPr>
                <w:rFonts w:ascii="Verdana" w:eastAsia="Cambria" w:hAnsi="Verdana" w:cs="Times New Roman"/>
                <w:sz w:val="20"/>
                <w:szCs w:val="20"/>
              </w:rPr>
            </w:pPr>
            <w:r w:rsidRPr="00F244B2">
              <w:rPr>
                <w:rFonts w:ascii="Verdana" w:eastAsia="Cambria" w:hAnsi="Verdana" w:cs="Times New Roman"/>
                <w:sz w:val="20"/>
                <w:szCs w:val="20"/>
              </w:rPr>
              <w:t>(</w:t>
            </w:r>
            <w:r>
              <w:rPr>
                <w:rFonts w:ascii="Verdana" w:eastAsia="Cambria" w:hAnsi="Verdana" w:cs="Times New Roman"/>
                <w:sz w:val="20"/>
                <w:szCs w:val="20"/>
              </w:rPr>
              <w:t>02</w:t>
            </w:r>
            <w:r w:rsidRPr="00F244B2">
              <w:rPr>
                <w:rFonts w:ascii="Verdana" w:eastAsia="Cambria" w:hAnsi="Verdana" w:cs="Times New Roman"/>
                <w:sz w:val="20"/>
                <w:szCs w:val="20"/>
              </w:rPr>
              <w:t>) umetnost</w:t>
            </w:r>
            <w:r>
              <w:rPr>
                <w:rFonts w:ascii="Verdana" w:eastAsia="Cambria" w:hAnsi="Verdana" w:cs="Times New Roman"/>
                <w:sz w:val="20"/>
                <w:szCs w:val="20"/>
              </w:rPr>
              <w:t xml:space="preserve"> in humanistika</w:t>
            </w:r>
          </w:p>
        </w:tc>
        <w:tc>
          <w:tcPr>
            <w:tcW w:w="2268" w:type="dxa"/>
            <w:tcBorders>
              <w:top w:val="single" w:sz="6" w:space="0" w:color="993366"/>
              <w:left w:val="single" w:sz="6" w:space="0" w:color="993366"/>
              <w:bottom w:val="single" w:sz="6" w:space="0" w:color="993366"/>
              <w:right w:val="single" w:sz="6" w:space="0" w:color="993366"/>
            </w:tcBorders>
            <w:shd w:val="clear" w:color="auto" w:fill="auto"/>
          </w:tcPr>
          <w:p w14:paraId="45FB0B7E" w14:textId="77777777" w:rsidR="003D7AF8" w:rsidRPr="00F244B2"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c>
          <w:tcPr>
            <w:tcW w:w="2268" w:type="dxa"/>
            <w:tcBorders>
              <w:top w:val="single" w:sz="6" w:space="0" w:color="993366"/>
              <w:left w:val="single" w:sz="6" w:space="0" w:color="993366"/>
              <w:bottom w:val="single" w:sz="6" w:space="0" w:color="993366"/>
              <w:right w:val="single" w:sz="18" w:space="0" w:color="993366"/>
            </w:tcBorders>
            <w:shd w:val="clear" w:color="auto" w:fill="auto"/>
          </w:tcPr>
          <w:p w14:paraId="4AF4C58D" w14:textId="77777777" w:rsidR="003D7AF8" w:rsidRPr="00F244B2" w:rsidRDefault="003D7AF8" w:rsidP="000C6F9E">
            <w:pPr>
              <w:spacing w:after="0" w:line="240" w:lineRule="auto"/>
              <w:rPr>
                <w:rFonts w:ascii="Verdana" w:eastAsia="Cambria" w:hAnsi="Verdana" w:cs="Times New Roman"/>
                <w:sz w:val="20"/>
                <w:szCs w:val="20"/>
              </w:rPr>
            </w:pPr>
          </w:p>
        </w:tc>
      </w:tr>
      <w:tr w:rsidR="003D7AF8" w:rsidRPr="00F244B2" w14:paraId="79002CB1" w14:textId="77777777" w:rsidTr="00E07F6C">
        <w:trPr>
          <w:trHeight w:val="306"/>
        </w:trPr>
        <w:tc>
          <w:tcPr>
            <w:tcW w:w="5425" w:type="dxa"/>
            <w:tcBorders>
              <w:top w:val="single" w:sz="6" w:space="0" w:color="993366"/>
              <w:left w:val="single" w:sz="18" w:space="0" w:color="993366"/>
              <w:bottom w:val="single" w:sz="6" w:space="0" w:color="993366"/>
              <w:right w:val="single" w:sz="6" w:space="0" w:color="993366"/>
            </w:tcBorders>
            <w:shd w:val="clear" w:color="auto" w:fill="auto"/>
          </w:tcPr>
          <w:p w14:paraId="0E0C5F2F" w14:textId="77777777" w:rsidR="003D7AF8" w:rsidRPr="00F244B2"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(03</w:t>
            </w:r>
            <w:r w:rsidRPr="00F244B2">
              <w:rPr>
                <w:rFonts w:ascii="Verdana" w:eastAsia="Cambria" w:hAnsi="Verdana" w:cs="Times New Roman"/>
                <w:sz w:val="20"/>
                <w:szCs w:val="20"/>
              </w:rPr>
              <w:t xml:space="preserve">) </w:t>
            </w:r>
            <w:r>
              <w:rPr>
                <w:rFonts w:ascii="Verdana" w:eastAsia="Cambria" w:hAnsi="Verdana" w:cs="Times New Roman"/>
                <w:sz w:val="20"/>
                <w:szCs w:val="20"/>
              </w:rPr>
              <w:t>d</w:t>
            </w:r>
            <w:r w:rsidRPr="00C40C43">
              <w:rPr>
                <w:rFonts w:ascii="Verdana" w:eastAsia="Cambria" w:hAnsi="Verdana" w:cs="Times New Roman"/>
                <w:sz w:val="20"/>
                <w:szCs w:val="20"/>
              </w:rPr>
              <w:t>ružbene vede, novinarstvo in informacijska znanost</w:t>
            </w:r>
          </w:p>
        </w:tc>
        <w:tc>
          <w:tcPr>
            <w:tcW w:w="2268" w:type="dxa"/>
            <w:tcBorders>
              <w:top w:val="single" w:sz="6" w:space="0" w:color="993366"/>
              <w:left w:val="single" w:sz="6" w:space="0" w:color="993366"/>
              <w:bottom w:val="single" w:sz="6" w:space="0" w:color="993366"/>
              <w:right w:val="single" w:sz="6" w:space="0" w:color="993366"/>
            </w:tcBorders>
            <w:shd w:val="clear" w:color="auto" w:fill="auto"/>
          </w:tcPr>
          <w:p w14:paraId="0BAC4646" w14:textId="77777777" w:rsidR="003D7AF8" w:rsidRPr="00F244B2"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c>
          <w:tcPr>
            <w:tcW w:w="2268" w:type="dxa"/>
            <w:tcBorders>
              <w:top w:val="single" w:sz="6" w:space="0" w:color="993366"/>
              <w:left w:val="single" w:sz="6" w:space="0" w:color="993366"/>
              <w:bottom w:val="single" w:sz="6" w:space="0" w:color="993366"/>
              <w:right w:val="single" w:sz="18" w:space="0" w:color="993366"/>
            </w:tcBorders>
            <w:shd w:val="clear" w:color="auto" w:fill="auto"/>
          </w:tcPr>
          <w:p w14:paraId="6B10A7BF" w14:textId="77777777" w:rsidR="003D7AF8" w:rsidRPr="00F244B2" w:rsidRDefault="003D7AF8" w:rsidP="000C6F9E">
            <w:pPr>
              <w:spacing w:after="0" w:line="240" w:lineRule="auto"/>
              <w:rPr>
                <w:rFonts w:ascii="Verdana" w:eastAsia="Cambria" w:hAnsi="Verdana" w:cs="Times New Roman"/>
                <w:sz w:val="20"/>
                <w:szCs w:val="20"/>
              </w:rPr>
            </w:pPr>
          </w:p>
        </w:tc>
      </w:tr>
      <w:tr w:rsidR="003D7AF8" w:rsidRPr="00F244B2" w14:paraId="678AB2A2" w14:textId="77777777" w:rsidTr="00E07F6C">
        <w:trPr>
          <w:trHeight w:val="306"/>
        </w:trPr>
        <w:tc>
          <w:tcPr>
            <w:tcW w:w="5425" w:type="dxa"/>
            <w:tcBorders>
              <w:top w:val="single" w:sz="6" w:space="0" w:color="993366"/>
              <w:left w:val="single" w:sz="18" w:space="0" w:color="993366"/>
              <w:bottom w:val="single" w:sz="6" w:space="0" w:color="993366"/>
              <w:right w:val="single" w:sz="6" w:space="0" w:color="993366"/>
            </w:tcBorders>
            <w:shd w:val="clear" w:color="auto" w:fill="auto"/>
          </w:tcPr>
          <w:p w14:paraId="16BF6822" w14:textId="77777777" w:rsidR="003D7AF8" w:rsidRPr="00F244B2" w:rsidRDefault="003D7AF8" w:rsidP="000C6F9E">
            <w:pPr>
              <w:spacing w:after="0" w:line="240" w:lineRule="auto"/>
              <w:rPr>
                <w:rFonts w:ascii="Verdana" w:eastAsia="Cambria" w:hAnsi="Verdana" w:cs="Times New Roman"/>
                <w:sz w:val="20"/>
                <w:szCs w:val="20"/>
              </w:rPr>
            </w:pPr>
            <w:r w:rsidRPr="00F244B2">
              <w:rPr>
                <w:rFonts w:ascii="Verdana" w:eastAsia="Cambria" w:hAnsi="Verdana" w:cs="Times New Roman"/>
                <w:sz w:val="20"/>
                <w:szCs w:val="20"/>
              </w:rPr>
              <w:t>(</w:t>
            </w:r>
            <w:r>
              <w:rPr>
                <w:rFonts w:ascii="Verdana" w:eastAsia="Cambria" w:hAnsi="Verdana" w:cs="Times New Roman"/>
                <w:sz w:val="20"/>
                <w:szCs w:val="20"/>
              </w:rPr>
              <w:t>0</w:t>
            </w:r>
            <w:r w:rsidRPr="00F244B2">
              <w:rPr>
                <w:rFonts w:ascii="Verdana" w:eastAsia="Cambria" w:hAnsi="Verdana" w:cs="Times New Roman"/>
                <w:sz w:val="20"/>
                <w:szCs w:val="20"/>
              </w:rPr>
              <w:t>4) poslovne in upravne vede</w:t>
            </w:r>
            <w:r>
              <w:rPr>
                <w:rFonts w:ascii="Verdana" w:eastAsia="Cambria" w:hAnsi="Verdana" w:cs="Times New Roman"/>
                <w:sz w:val="20"/>
                <w:szCs w:val="20"/>
              </w:rPr>
              <w:t>, pravo</w:t>
            </w:r>
          </w:p>
        </w:tc>
        <w:tc>
          <w:tcPr>
            <w:tcW w:w="2268" w:type="dxa"/>
            <w:tcBorders>
              <w:top w:val="single" w:sz="6" w:space="0" w:color="993366"/>
              <w:left w:val="single" w:sz="6" w:space="0" w:color="993366"/>
              <w:bottom w:val="single" w:sz="6" w:space="0" w:color="993366"/>
              <w:right w:val="single" w:sz="6" w:space="0" w:color="993366"/>
            </w:tcBorders>
            <w:shd w:val="clear" w:color="auto" w:fill="auto"/>
          </w:tcPr>
          <w:p w14:paraId="480A8E22" w14:textId="0A8EE4BE" w:rsidR="003D7AF8" w:rsidRPr="00F244B2" w:rsidRDefault="000804E0"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3</w:t>
            </w:r>
          </w:p>
        </w:tc>
        <w:tc>
          <w:tcPr>
            <w:tcW w:w="2268" w:type="dxa"/>
            <w:tcBorders>
              <w:top w:val="single" w:sz="6" w:space="0" w:color="993366"/>
              <w:left w:val="single" w:sz="6" w:space="0" w:color="993366"/>
              <w:bottom w:val="single" w:sz="6" w:space="0" w:color="993366"/>
              <w:right w:val="single" w:sz="18" w:space="0" w:color="993366"/>
            </w:tcBorders>
            <w:shd w:val="clear" w:color="auto" w:fill="auto"/>
          </w:tcPr>
          <w:p w14:paraId="57FB8784" w14:textId="77777777" w:rsidR="003D7AF8" w:rsidRPr="00F244B2" w:rsidRDefault="003D7AF8" w:rsidP="000C6F9E">
            <w:pPr>
              <w:spacing w:after="0" w:line="240" w:lineRule="auto"/>
              <w:rPr>
                <w:rFonts w:ascii="Verdana" w:eastAsia="Cambria" w:hAnsi="Verdana" w:cs="Times New Roman"/>
                <w:sz w:val="20"/>
                <w:szCs w:val="20"/>
              </w:rPr>
            </w:pPr>
          </w:p>
        </w:tc>
      </w:tr>
      <w:tr w:rsidR="003D7AF8" w:rsidRPr="00F244B2" w14:paraId="7FF2AC5B" w14:textId="77777777" w:rsidTr="00E07F6C">
        <w:trPr>
          <w:trHeight w:val="306"/>
        </w:trPr>
        <w:tc>
          <w:tcPr>
            <w:tcW w:w="5425" w:type="dxa"/>
            <w:tcBorders>
              <w:top w:val="single" w:sz="6" w:space="0" w:color="993366"/>
              <w:left w:val="single" w:sz="18" w:space="0" w:color="993366"/>
              <w:bottom w:val="single" w:sz="6" w:space="0" w:color="993366"/>
              <w:right w:val="single" w:sz="6" w:space="0" w:color="993366"/>
            </w:tcBorders>
            <w:shd w:val="clear" w:color="auto" w:fill="auto"/>
          </w:tcPr>
          <w:p w14:paraId="4EF3EF54" w14:textId="77777777" w:rsidR="003D7AF8" w:rsidRPr="00F244B2"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(05</w:t>
            </w:r>
            <w:r w:rsidRPr="00F244B2">
              <w:rPr>
                <w:rFonts w:ascii="Verdana" w:eastAsia="Cambria" w:hAnsi="Verdana" w:cs="Times New Roman"/>
                <w:sz w:val="20"/>
                <w:szCs w:val="20"/>
              </w:rPr>
              <w:t xml:space="preserve">) </w:t>
            </w:r>
            <w:r>
              <w:rPr>
                <w:rFonts w:ascii="Verdana" w:eastAsia="Cambria" w:hAnsi="Verdana" w:cs="Times New Roman"/>
                <w:sz w:val="20"/>
                <w:szCs w:val="20"/>
              </w:rPr>
              <w:t>naravoslovje, matematika in statistika</w:t>
            </w:r>
          </w:p>
        </w:tc>
        <w:tc>
          <w:tcPr>
            <w:tcW w:w="2268" w:type="dxa"/>
            <w:tcBorders>
              <w:top w:val="single" w:sz="6" w:space="0" w:color="993366"/>
              <w:left w:val="single" w:sz="6" w:space="0" w:color="993366"/>
              <w:bottom w:val="single" w:sz="6" w:space="0" w:color="993366"/>
              <w:right w:val="single" w:sz="6" w:space="0" w:color="993366"/>
            </w:tcBorders>
            <w:shd w:val="clear" w:color="auto" w:fill="auto"/>
          </w:tcPr>
          <w:p w14:paraId="7F315ABB" w14:textId="77777777" w:rsidR="003D7AF8" w:rsidRPr="00F244B2"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1</w:t>
            </w:r>
          </w:p>
        </w:tc>
        <w:tc>
          <w:tcPr>
            <w:tcW w:w="2268" w:type="dxa"/>
            <w:tcBorders>
              <w:top w:val="single" w:sz="6" w:space="0" w:color="993366"/>
              <w:left w:val="single" w:sz="6" w:space="0" w:color="993366"/>
              <w:bottom w:val="single" w:sz="6" w:space="0" w:color="993366"/>
              <w:right w:val="single" w:sz="18" w:space="0" w:color="993366"/>
            </w:tcBorders>
            <w:shd w:val="clear" w:color="auto" w:fill="auto"/>
          </w:tcPr>
          <w:p w14:paraId="2372A362" w14:textId="77777777" w:rsidR="003D7AF8" w:rsidRPr="00F244B2" w:rsidRDefault="003D7AF8" w:rsidP="000C6F9E">
            <w:pPr>
              <w:spacing w:after="0" w:line="240" w:lineRule="auto"/>
              <w:rPr>
                <w:rFonts w:ascii="Verdana" w:eastAsia="Cambria" w:hAnsi="Verdana" w:cs="Times New Roman"/>
                <w:sz w:val="20"/>
                <w:szCs w:val="20"/>
              </w:rPr>
            </w:pPr>
          </w:p>
        </w:tc>
      </w:tr>
      <w:tr w:rsidR="003D7AF8" w:rsidRPr="00F244B2" w14:paraId="0BBC3ED9" w14:textId="77777777" w:rsidTr="00E07F6C">
        <w:trPr>
          <w:trHeight w:val="306"/>
        </w:trPr>
        <w:tc>
          <w:tcPr>
            <w:tcW w:w="5425" w:type="dxa"/>
            <w:tcBorders>
              <w:top w:val="single" w:sz="6" w:space="0" w:color="993366"/>
              <w:left w:val="single" w:sz="18" w:space="0" w:color="993366"/>
              <w:bottom w:val="single" w:sz="6" w:space="0" w:color="993366"/>
              <w:right w:val="single" w:sz="6" w:space="0" w:color="993366"/>
            </w:tcBorders>
            <w:shd w:val="clear" w:color="auto" w:fill="auto"/>
          </w:tcPr>
          <w:p w14:paraId="1BCB2362" w14:textId="77777777" w:rsidR="003D7AF8" w:rsidRPr="00F244B2"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lastRenderedPageBreak/>
              <w:t>(06</w:t>
            </w:r>
            <w:r w:rsidRPr="00F244B2">
              <w:rPr>
                <w:rFonts w:ascii="Verdana" w:eastAsia="Cambria" w:hAnsi="Verdana" w:cs="Times New Roman"/>
                <w:sz w:val="20"/>
                <w:szCs w:val="20"/>
              </w:rPr>
              <w:t xml:space="preserve">) </w:t>
            </w:r>
            <w:r>
              <w:rPr>
                <w:rFonts w:ascii="Verdana" w:eastAsia="Cambria" w:hAnsi="Verdana" w:cs="Times New Roman"/>
                <w:sz w:val="20"/>
                <w:szCs w:val="20"/>
              </w:rPr>
              <w:t>i</w:t>
            </w:r>
            <w:r w:rsidRPr="00C40C43">
              <w:rPr>
                <w:rFonts w:ascii="Verdana" w:eastAsia="Cambria" w:hAnsi="Verdana" w:cs="Times New Roman"/>
                <w:sz w:val="20"/>
                <w:szCs w:val="20"/>
              </w:rPr>
              <w:t>nformacijske in komunikacijske tehnologije (IKT)</w:t>
            </w:r>
          </w:p>
        </w:tc>
        <w:tc>
          <w:tcPr>
            <w:tcW w:w="2268" w:type="dxa"/>
            <w:tcBorders>
              <w:top w:val="single" w:sz="6" w:space="0" w:color="993366"/>
              <w:left w:val="single" w:sz="6" w:space="0" w:color="993366"/>
              <w:bottom w:val="single" w:sz="6" w:space="0" w:color="993366"/>
              <w:right w:val="single" w:sz="6" w:space="0" w:color="993366"/>
            </w:tcBorders>
            <w:shd w:val="clear" w:color="auto" w:fill="auto"/>
          </w:tcPr>
          <w:p w14:paraId="5B19380C" w14:textId="77777777" w:rsidR="003D7AF8" w:rsidRPr="00F244B2"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1</w:t>
            </w:r>
          </w:p>
        </w:tc>
        <w:tc>
          <w:tcPr>
            <w:tcW w:w="2268" w:type="dxa"/>
            <w:tcBorders>
              <w:top w:val="single" w:sz="6" w:space="0" w:color="993366"/>
              <w:left w:val="single" w:sz="6" w:space="0" w:color="993366"/>
              <w:bottom w:val="single" w:sz="6" w:space="0" w:color="993366"/>
              <w:right w:val="single" w:sz="18" w:space="0" w:color="993366"/>
            </w:tcBorders>
            <w:shd w:val="clear" w:color="auto" w:fill="auto"/>
          </w:tcPr>
          <w:p w14:paraId="71880F34" w14:textId="77777777" w:rsidR="003D7AF8" w:rsidRPr="00F244B2" w:rsidRDefault="003D7AF8" w:rsidP="000C6F9E">
            <w:pPr>
              <w:spacing w:after="0" w:line="240" w:lineRule="auto"/>
              <w:rPr>
                <w:rFonts w:ascii="Verdana" w:eastAsia="Cambria" w:hAnsi="Verdana" w:cs="Times New Roman"/>
                <w:sz w:val="20"/>
                <w:szCs w:val="20"/>
              </w:rPr>
            </w:pPr>
          </w:p>
        </w:tc>
      </w:tr>
      <w:tr w:rsidR="003D7AF8" w:rsidRPr="00F244B2" w14:paraId="4693622F" w14:textId="77777777" w:rsidTr="00E07F6C">
        <w:trPr>
          <w:trHeight w:val="306"/>
        </w:trPr>
        <w:tc>
          <w:tcPr>
            <w:tcW w:w="5425" w:type="dxa"/>
            <w:tcBorders>
              <w:top w:val="single" w:sz="6" w:space="0" w:color="993366"/>
              <w:left w:val="single" w:sz="18" w:space="0" w:color="993366"/>
              <w:bottom w:val="single" w:sz="6" w:space="0" w:color="993366"/>
              <w:right w:val="single" w:sz="6" w:space="0" w:color="993366"/>
            </w:tcBorders>
            <w:shd w:val="clear" w:color="auto" w:fill="auto"/>
          </w:tcPr>
          <w:p w14:paraId="4FC3AF2C" w14:textId="77777777" w:rsidR="003D7AF8" w:rsidRPr="00F244B2"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(07</w:t>
            </w:r>
            <w:r w:rsidRPr="00F244B2">
              <w:rPr>
                <w:rFonts w:ascii="Verdana" w:eastAsia="Cambria" w:hAnsi="Verdana" w:cs="Times New Roman"/>
                <w:sz w:val="20"/>
                <w:szCs w:val="20"/>
              </w:rPr>
              <w:t xml:space="preserve">) </w:t>
            </w:r>
            <w:r>
              <w:rPr>
                <w:rFonts w:ascii="Verdana" w:eastAsia="Cambria" w:hAnsi="Verdana" w:cs="Times New Roman"/>
                <w:sz w:val="20"/>
                <w:szCs w:val="20"/>
              </w:rPr>
              <w:t>t</w:t>
            </w:r>
            <w:r w:rsidRPr="00C40C43">
              <w:rPr>
                <w:rFonts w:ascii="Verdana" w:eastAsia="Cambria" w:hAnsi="Verdana" w:cs="Times New Roman"/>
                <w:sz w:val="20"/>
                <w:szCs w:val="20"/>
              </w:rPr>
              <w:t>ehnika, proizvodne tehnologije in gradbeništvo</w:t>
            </w:r>
          </w:p>
        </w:tc>
        <w:tc>
          <w:tcPr>
            <w:tcW w:w="2268" w:type="dxa"/>
            <w:tcBorders>
              <w:top w:val="single" w:sz="6" w:space="0" w:color="993366"/>
              <w:left w:val="single" w:sz="6" w:space="0" w:color="993366"/>
              <w:bottom w:val="single" w:sz="6" w:space="0" w:color="993366"/>
              <w:right w:val="single" w:sz="6" w:space="0" w:color="993366"/>
            </w:tcBorders>
            <w:shd w:val="clear" w:color="auto" w:fill="auto"/>
          </w:tcPr>
          <w:p w14:paraId="2124087F" w14:textId="77777777" w:rsidR="003D7AF8" w:rsidRPr="00F244B2"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c>
          <w:tcPr>
            <w:tcW w:w="2268" w:type="dxa"/>
            <w:tcBorders>
              <w:top w:val="single" w:sz="6" w:space="0" w:color="993366"/>
              <w:left w:val="single" w:sz="6" w:space="0" w:color="993366"/>
              <w:bottom w:val="single" w:sz="6" w:space="0" w:color="993366"/>
              <w:right w:val="single" w:sz="18" w:space="0" w:color="993366"/>
            </w:tcBorders>
            <w:shd w:val="clear" w:color="auto" w:fill="auto"/>
          </w:tcPr>
          <w:p w14:paraId="7E66BDFC" w14:textId="77777777" w:rsidR="003D7AF8" w:rsidRPr="00F244B2" w:rsidRDefault="003D7AF8" w:rsidP="000C6F9E">
            <w:pPr>
              <w:spacing w:after="0" w:line="240" w:lineRule="auto"/>
              <w:rPr>
                <w:rFonts w:ascii="Verdana" w:eastAsia="Cambria" w:hAnsi="Verdana" w:cs="Times New Roman"/>
                <w:sz w:val="20"/>
                <w:szCs w:val="20"/>
              </w:rPr>
            </w:pPr>
          </w:p>
        </w:tc>
      </w:tr>
      <w:tr w:rsidR="003D7AF8" w:rsidRPr="00F244B2" w14:paraId="677358D3" w14:textId="77777777" w:rsidTr="00E07F6C">
        <w:trPr>
          <w:trHeight w:val="306"/>
        </w:trPr>
        <w:tc>
          <w:tcPr>
            <w:tcW w:w="5425" w:type="dxa"/>
            <w:tcBorders>
              <w:top w:val="single" w:sz="6" w:space="0" w:color="993366"/>
              <w:left w:val="single" w:sz="18" w:space="0" w:color="993366"/>
              <w:bottom w:val="single" w:sz="6" w:space="0" w:color="993366"/>
              <w:right w:val="single" w:sz="6" w:space="0" w:color="993366"/>
            </w:tcBorders>
            <w:shd w:val="clear" w:color="auto" w:fill="auto"/>
          </w:tcPr>
          <w:p w14:paraId="1F2A85CF" w14:textId="77777777" w:rsidR="003D7AF8" w:rsidRPr="00F244B2"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(08</w:t>
            </w:r>
            <w:r w:rsidRPr="00F244B2">
              <w:rPr>
                <w:rFonts w:ascii="Verdana" w:eastAsia="Cambria" w:hAnsi="Verdana" w:cs="Times New Roman"/>
                <w:sz w:val="20"/>
                <w:szCs w:val="20"/>
              </w:rPr>
              <w:t xml:space="preserve">) </w:t>
            </w:r>
            <w:r>
              <w:rPr>
                <w:rFonts w:ascii="Verdana" w:eastAsia="Cambria" w:hAnsi="Verdana" w:cs="Times New Roman"/>
                <w:sz w:val="20"/>
                <w:szCs w:val="20"/>
              </w:rPr>
              <w:t>k</w:t>
            </w:r>
            <w:r w:rsidRPr="00C40C43">
              <w:rPr>
                <w:rFonts w:ascii="Verdana" w:eastAsia="Cambria" w:hAnsi="Verdana" w:cs="Times New Roman"/>
                <w:sz w:val="20"/>
                <w:szCs w:val="20"/>
              </w:rPr>
              <w:t>metijstvo, gozdarstvo, ribištvo in veterinarstvo</w:t>
            </w:r>
          </w:p>
        </w:tc>
        <w:tc>
          <w:tcPr>
            <w:tcW w:w="2268" w:type="dxa"/>
            <w:tcBorders>
              <w:top w:val="single" w:sz="6" w:space="0" w:color="993366"/>
              <w:left w:val="single" w:sz="6" w:space="0" w:color="993366"/>
              <w:bottom w:val="single" w:sz="6" w:space="0" w:color="993366"/>
              <w:right w:val="single" w:sz="6" w:space="0" w:color="993366"/>
            </w:tcBorders>
            <w:shd w:val="clear" w:color="auto" w:fill="auto"/>
          </w:tcPr>
          <w:p w14:paraId="3D5C1CC8" w14:textId="77777777" w:rsidR="003D7AF8" w:rsidRPr="00F244B2"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1</w:t>
            </w:r>
          </w:p>
        </w:tc>
        <w:tc>
          <w:tcPr>
            <w:tcW w:w="2268" w:type="dxa"/>
            <w:tcBorders>
              <w:top w:val="single" w:sz="6" w:space="0" w:color="993366"/>
              <w:left w:val="single" w:sz="6" w:space="0" w:color="993366"/>
              <w:bottom w:val="single" w:sz="6" w:space="0" w:color="993366"/>
              <w:right w:val="single" w:sz="18" w:space="0" w:color="993366"/>
            </w:tcBorders>
            <w:shd w:val="clear" w:color="auto" w:fill="auto"/>
          </w:tcPr>
          <w:p w14:paraId="11C9028B" w14:textId="77777777" w:rsidR="003D7AF8" w:rsidRPr="00F244B2" w:rsidRDefault="003D7AF8" w:rsidP="000C6F9E">
            <w:pPr>
              <w:spacing w:after="0" w:line="240" w:lineRule="auto"/>
              <w:rPr>
                <w:rFonts w:ascii="Verdana" w:eastAsia="Cambria" w:hAnsi="Verdana" w:cs="Times New Roman"/>
                <w:sz w:val="20"/>
                <w:szCs w:val="20"/>
              </w:rPr>
            </w:pPr>
          </w:p>
        </w:tc>
      </w:tr>
      <w:tr w:rsidR="003D7AF8" w:rsidRPr="00F244B2" w14:paraId="6E38F186" w14:textId="77777777" w:rsidTr="00E07F6C">
        <w:trPr>
          <w:trHeight w:val="306"/>
        </w:trPr>
        <w:tc>
          <w:tcPr>
            <w:tcW w:w="5425" w:type="dxa"/>
            <w:tcBorders>
              <w:top w:val="single" w:sz="6" w:space="0" w:color="993366"/>
              <w:left w:val="single" w:sz="18" w:space="0" w:color="993366"/>
              <w:bottom w:val="single" w:sz="6" w:space="0" w:color="993366"/>
              <w:right w:val="single" w:sz="6" w:space="0" w:color="993366"/>
            </w:tcBorders>
            <w:shd w:val="clear" w:color="auto" w:fill="auto"/>
          </w:tcPr>
          <w:p w14:paraId="4F2377AF" w14:textId="77777777" w:rsidR="003D7AF8" w:rsidRPr="00F244B2"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(09</w:t>
            </w:r>
            <w:r w:rsidRPr="00F244B2">
              <w:rPr>
                <w:rFonts w:ascii="Verdana" w:eastAsia="Cambria" w:hAnsi="Verdana" w:cs="Times New Roman"/>
                <w:sz w:val="20"/>
                <w:szCs w:val="20"/>
              </w:rPr>
              <w:t>) zdravstvo</w:t>
            </w:r>
            <w:r>
              <w:rPr>
                <w:rFonts w:ascii="Verdana" w:eastAsia="Cambria" w:hAnsi="Verdana" w:cs="Times New Roman"/>
                <w:sz w:val="20"/>
                <w:szCs w:val="20"/>
              </w:rPr>
              <w:t xml:space="preserve"> in socialna varnost</w:t>
            </w:r>
          </w:p>
        </w:tc>
        <w:tc>
          <w:tcPr>
            <w:tcW w:w="2268" w:type="dxa"/>
            <w:tcBorders>
              <w:top w:val="single" w:sz="6" w:space="0" w:color="993366"/>
              <w:left w:val="single" w:sz="6" w:space="0" w:color="993366"/>
              <w:bottom w:val="single" w:sz="6" w:space="0" w:color="993366"/>
              <w:right w:val="single" w:sz="6" w:space="0" w:color="993366"/>
            </w:tcBorders>
            <w:shd w:val="clear" w:color="auto" w:fill="auto"/>
          </w:tcPr>
          <w:p w14:paraId="1EB35708" w14:textId="77777777" w:rsidR="003D7AF8" w:rsidRPr="00F244B2"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2</w:t>
            </w:r>
          </w:p>
        </w:tc>
        <w:tc>
          <w:tcPr>
            <w:tcW w:w="2268" w:type="dxa"/>
            <w:tcBorders>
              <w:top w:val="single" w:sz="6" w:space="0" w:color="993366"/>
              <w:left w:val="single" w:sz="6" w:space="0" w:color="993366"/>
              <w:bottom w:val="single" w:sz="6" w:space="0" w:color="993366"/>
              <w:right w:val="single" w:sz="18" w:space="0" w:color="993366"/>
            </w:tcBorders>
            <w:shd w:val="clear" w:color="auto" w:fill="auto"/>
          </w:tcPr>
          <w:p w14:paraId="611E9B4E" w14:textId="77777777" w:rsidR="003D7AF8" w:rsidRPr="00F244B2" w:rsidRDefault="003D7AF8" w:rsidP="000C6F9E">
            <w:pPr>
              <w:spacing w:after="0" w:line="240" w:lineRule="auto"/>
              <w:rPr>
                <w:rFonts w:ascii="Verdana" w:eastAsia="Cambria" w:hAnsi="Verdana" w:cs="Times New Roman"/>
                <w:sz w:val="20"/>
                <w:szCs w:val="20"/>
              </w:rPr>
            </w:pPr>
          </w:p>
        </w:tc>
      </w:tr>
      <w:tr w:rsidR="003D7AF8" w:rsidRPr="00F244B2" w14:paraId="48B68C40" w14:textId="77777777" w:rsidTr="00E07F6C">
        <w:trPr>
          <w:trHeight w:val="306"/>
        </w:trPr>
        <w:tc>
          <w:tcPr>
            <w:tcW w:w="5425" w:type="dxa"/>
            <w:tcBorders>
              <w:top w:val="single" w:sz="6" w:space="0" w:color="993366"/>
              <w:left w:val="single" w:sz="18" w:space="0" w:color="993366"/>
              <w:bottom w:val="single" w:sz="6" w:space="0" w:color="993366"/>
              <w:right w:val="single" w:sz="6" w:space="0" w:color="993366"/>
            </w:tcBorders>
            <w:shd w:val="clear" w:color="auto" w:fill="auto"/>
          </w:tcPr>
          <w:p w14:paraId="19969AFE" w14:textId="77777777" w:rsidR="003D7AF8" w:rsidRPr="00F244B2" w:rsidRDefault="003D7AF8" w:rsidP="000C6F9E">
            <w:pPr>
              <w:spacing w:after="0" w:line="240" w:lineRule="auto"/>
              <w:rPr>
                <w:rFonts w:ascii="Verdana" w:eastAsia="Cambria" w:hAnsi="Verdana" w:cs="Times New Roman"/>
                <w:sz w:val="20"/>
                <w:szCs w:val="20"/>
              </w:rPr>
            </w:pPr>
            <w:r w:rsidRPr="00F244B2">
              <w:rPr>
                <w:rFonts w:ascii="Verdana" w:eastAsia="Cambria" w:hAnsi="Verdana" w:cs="Times New Roman"/>
                <w:sz w:val="20"/>
                <w:szCs w:val="20"/>
              </w:rPr>
              <w:t>(</w:t>
            </w:r>
            <w:r>
              <w:rPr>
                <w:rFonts w:ascii="Verdana" w:eastAsia="Cambria" w:hAnsi="Verdana" w:cs="Times New Roman"/>
                <w:sz w:val="20"/>
                <w:szCs w:val="20"/>
              </w:rPr>
              <w:t>10</w:t>
            </w:r>
            <w:r w:rsidRPr="00F244B2">
              <w:rPr>
                <w:rFonts w:ascii="Verdana" w:eastAsia="Cambria" w:hAnsi="Verdana" w:cs="Times New Roman"/>
                <w:sz w:val="20"/>
                <w:szCs w:val="20"/>
              </w:rPr>
              <w:t xml:space="preserve">) </w:t>
            </w:r>
            <w:r>
              <w:rPr>
                <w:rFonts w:ascii="Verdana" w:eastAsia="Cambria" w:hAnsi="Verdana" w:cs="Times New Roman"/>
                <w:sz w:val="20"/>
                <w:szCs w:val="20"/>
              </w:rPr>
              <w:t>t</w:t>
            </w:r>
            <w:r w:rsidRPr="00C40C43">
              <w:rPr>
                <w:rFonts w:ascii="Verdana" w:eastAsia="Cambria" w:hAnsi="Verdana" w:cs="Times New Roman"/>
                <w:sz w:val="20"/>
                <w:szCs w:val="20"/>
              </w:rPr>
              <w:t>ransport, varnost, gostinstvo in turizem, osebne storitve</w:t>
            </w:r>
          </w:p>
        </w:tc>
        <w:tc>
          <w:tcPr>
            <w:tcW w:w="2268" w:type="dxa"/>
            <w:tcBorders>
              <w:top w:val="single" w:sz="6" w:space="0" w:color="993366"/>
              <w:left w:val="single" w:sz="6" w:space="0" w:color="993366"/>
              <w:bottom w:val="single" w:sz="6" w:space="0" w:color="993366"/>
              <w:right w:val="single" w:sz="6" w:space="0" w:color="993366"/>
            </w:tcBorders>
            <w:shd w:val="clear" w:color="auto" w:fill="auto"/>
          </w:tcPr>
          <w:p w14:paraId="41C4B8BF" w14:textId="67AC5F18" w:rsidR="003D7AF8" w:rsidRPr="00F244B2" w:rsidRDefault="000804E0"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1</w:t>
            </w:r>
          </w:p>
        </w:tc>
        <w:tc>
          <w:tcPr>
            <w:tcW w:w="2268" w:type="dxa"/>
            <w:tcBorders>
              <w:top w:val="single" w:sz="6" w:space="0" w:color="993366"/>
              <w:left w:val="single" w:sz="6" w:space="0" w:color="993366"/>
              <w:bottom w:val="single" w:sz="6" w:space="0" w:color="993366"/>
              <w:right w:val="single" w:sz="18" w:space="0" w:color="993366"/>
            </w:tcBorders>
            <w:shd w:val="clear" w:color="auto" w:fill="auto"/>
          </w:tcPr>
          <w:p w14:paraId="32F05340" w14:textId="77777777" w:rsidR="003D7AF8" w:rsidRPr="00F244B2" w:rsidRDefault="003D7AF8" w:rsidP="000C6F9E">
            <w:pPr>
              <w:spacing w:after="0" w:line="240" w:lineRule="auto"/>
              <w:rPr>
                <w:rFonts w:ascii="Verdana" w:eastAsia="Cambria" w:hAnsi="Verdana" w:cs="Times New Roman"/>
                <w:sz w:val="20"/>
                <w:szCs w:val="20"/>
              </w:rPr>
            </w:pPr>
          </w:p>
        </w:tc>
      </w:tr>
      <w:tr w:rsidR="003D7AF8" w:rsidRPr="00F244B2" w14:paraId="13B2CE2D" w14:textId="77777777" w:rsidTr="00E07F6C">
        <w:trPr>
          <w:trHeight w:val="306"/>
        </w:trPr>
        <w:tc>
          <w:tcPr>
            <w:tcW w:w="5425" w:type="dxa"/>
            <w:tcBorders>
              <w:top w:val="single" w:sz="6" w:space="0" w:color="993366"/>
              <w:left w:val="single" w:sz="18" w:space="0" w:color="993366"/>
              <w:bottom w:val="single" w:sz="6" w:space="0" w:color="993366"/>
              <w:right w:val="single" w:sz="6" w:space="0" w:color="993366"/>
            </w:tcBorders>
            <w:shd w:val="clear" w:color="auto" w:fill="auto"/>
          </w:tcPr>
          <w:p w14:paraId="1E2F5077" w14:textId="77777777" w:rsidR="003D7AF8" w:rsidRPr="00F244B2"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interdisciplinarni</w:t>
            </w:r>
          </w:p>
        </w:tc>
        <w:tc>
          <w:tcPr>
            <w:tcW w:w="2268" w:type="dxa"/>
            <w:tcBorders>
              <w:top w:val="single" w:sz="6" w:space="0" w:color="993366"/>
              <w:left w:val="single" w:sz="6" w:space="0" w:color="993366"/>
              <w:bottom w:val="single" w:sz="6" w:space="0" w:color="993366"/>
              <w:right w:val="single" w:sz="6" w:space="0" w:color="993366"/>
            </w:tcBorders>
            <w:shd w:val="clear" w:color="auto" w:fill="auto"/>
          </w:tcPr>
          <w:p w14:paraId="182E9736" w14:textId="77777777" w:rsidR="003D7AF8" w:rsidRPr="00F244B2"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0</w:t>
            </w:r>
          </w:p>
        </w:tc>
        <w:tc>
          <w:tcPr>
            <w:tcW w:w="2268" w:type="dxa"/>
            <w:tcBorders>
              <w:top w:val="single" w:sz="6" w:space="0" w:color="993366"/>
              <w:left w:val="single" w:sz="6" w:space="0" w:color="993366"/>
              <w:bottom w:val="single" w:sz="6" w:space="0" w:color="993366"/>
              <w:right w:val="single" w:sz="18" w:space="0" w:color="993366"/>
            </w:tcBorders>
            <w:shd w:val="clear" w:color="auto" w:fill="auto"/>
          </w:tcPr>
          <w:p w14:paraId="4E6BAC03" w14:textId="77777777" w:rsidR="003D7AF8" w:rsidRPr="00F244B2" w:rsidRDefault="003D7AF8" w:rsidP="000C6F9E">
            <w:pPr>
              <w:spacing w:after="0" w:line="240" w:lineRule="auto"/>
              <w:rPr>
                <w:rFonts w:ascii="Verdana" w:eastAsia="Cambria" w:hAnsi="Verdana" w:cs="Times New Roman"/>
                <w:sz w:val="20"/>
                <w:szCs w:val="20"/>
              </w:rPr>
            </w:pPr>
          </w:p>
        </w:tc>
      </w:tr>
      <w:tr w:rsidR="003D7AF8" w:rsidRPr="001530DF" w14:paraId="58DCFED5" w14:textId="77777777" w:rsidTr="00E07F6C">
        <w:trPr>
          <w:trHeight w:val="306"/>
        </w:trPr>
        <w:tc>
          <w:tcPr>
            <w:tcW w:w="5425" w:type="dxa"/>
            <w:tcBorders>
              <w:top w:val="single" w:sz="6" w:space="0" w:color="993366"/>
              <w:left w:val="single" w:sz="18" w:space="0" w:color="993366"/>
              <w:bottom w:val="single" w:sz="2" w:space="0" w:color="993366"/>
              <w:right w:val="single" w:sz="6" w:space="0" w:color="993366"/>
            </w:tcBorders>
            <w:shd w:val="clear" w:color="auto" w:fill="auto"/>
          </w:tcPr>
          <w:p w14:paraId="4D9C5B14" w14:textId="77777777" w:rsidR="003D7AF8" w:rsidRPr="001530DF" w:rsidRDefault="003D7AF8" w:rsidP="000C6F9E">
            <w:pPr>
              <w:spacing w:after="0" w:line="240" w:lineRule="auto"/>
              <w:rPr>
                <w:rFonts w:ascii="Verdana" w:eastAsia="Cambria" w:hAnsi="Verdana" w:cs="Times New Roman"/>
                <w:sz w:val="20"/>
                <w:szCs w:val="20"/>
              </w:rPr>
            </w:pPr>
            <w:r w:rsidRPr="00F244B2">
              <w:rPr>
                <w:rFonts w:ascii="Verdana" w:eastAsia="Cambria" w:hAnsi="Verdana" w:cs="Times New Roman"/>
                <w:sz w:val="20"/>
                <w:szCs w:val="20"/>
              </w:rPr>
              <w:t>Skupaj</w:t>
            </w:r>
          </w:p>
        </w:tc>
        <w:tc>
          <w:tcPr>
            <w:tcW w:w="2268" w:type="dxa"/>
            <w:tcBorders>
              <w:top w:val="single" w:sz="6" w:space="0" w:color="993366"/>
              <w:left w:val="single" w:sz="6" w:space="0" w:color="993366"/>
              <w:bottom w:val="single" w:sz="2" w:space="0" w:color="993366"/>
              <w:right w:val="single" w:sz="6" w:space="0" w:color="993366"/>
            </w:tcBorders>
            <w:shd w:val="clear" w:color="auto" w:fill="auto"/>
          </w:tcPr>
          <w:p w14:paraId="025EFA17" w14:textId="77777777" w:rsidR="003D7AF8" w:rsidRPr="0064627E" w:rsidRDefault="003D7AF8" w:rsidP="000C6F9E">
            <w:pPr>
              <w:spacing w:after="0" w:line="240" w:lineRule="auto"/>
              <w:rPr>
                <w:rFonts w:ascii="Verdana" w:eastAsia="Cambria" w:hAnsi="Verdana" w:cs="Times New Roman"/>
                <w:b/>
                <w:sz w:val="20"/>
                <w:szCs w:val="20"/>
              </w:rPr>
            </w:pPr>
            <w:r w:rsidRPr="0064627E">
              <w:rPr>
                <w:rFonts w:ascii="Verdana" w:eastAsia="Cambria" w:hAnsi="Verdana" w:cs="Times New Roman"/>
                <w:b/>
                <w:sz w:val="20"/>
                <w:szCs w:val="20"/>
              </w:rPr>
              <w:t>9</w:t>
            </w:r>
          </w:p>
        </w:tc>
        <w:tc>
          <w:tcPr>
            <w:tcW w:w="2268" w:type="dxa"/>
            <w:tcBorders>
              <w:top w:val="single" w:sz="6" w:space="0" w:color="993366"/>
              <w:left w:val="single" w:sz="6" w:space="0" w:color="993366"/>
              <w:bottom w:val="single" w:sz="2" w:space="0" w:color="993366"/>
              <w:right w:val="single" w:sz="18" w:space="0" w:color="993366"/>
            </w:tcBorders>
            <w:shd w:val="clear" w:color="auto" w:fill="auto"/>
          </w:tcPr>
          <w:p w14:paraId="10AD0672" w14:textId="77777777" w:rsidR="003D7AF8" w:rsidRPr="001530DF" w:rsidRDefault="003D7AF8" w:rsidP="000C6F9E">
            <w:pPr>
              <w:spacing w:after="0" w:line="240" w:lineRule="auto"/>
              <w:rPr>
                <w:rFonts w:ascii="Verdana" w:eastAsia="Cambria" w:hAnsi="Verdana" w:cs="Times New Roman"/>
                <w:sz w:val="20"/>
                <w:szCs w:val="20"/>
              </w:rPr>
            </w:pPr>
            <w:r>
              <w:rPr>
                <w:rFonts w:ascii="Verdana" w:eastAsia="Cambria" w:hAnsi="Verdana" w:cs="Times New Roman"/>
                <w:sz w:val="20"/>
                <w:szCs w:val="20"/>
              </w:rPr>
              <w:t>100</w:t>
            </w:r>
          </w:p>
        </w:tc>
      </w:tr>
    </w:tbl>
    <w:p w14:paraId="312923CC" w14:textId="77777777" w:rsidR="003D7AF8" w:rsidRPr="001530DF" w:rsidRDefault="003D7AF8" w:rsidP="003D7AF8">
      <w:pPr>
        <w:spacing w:after="0" w:line="240" w:lineRule="auto"/>
        <w:rPr>
          <w:rFonts w:ascii="Verdana" w:eastAsia="Cambria" w:hAnsi="Verdana" w:cs="Times New Roman"/>
          <w:b/>
          <w:sz w:val="24"/>
          <w:szCs w:val="24"/>
        </w:rPr>
      </w:pPr>
    </w:p>
    <w:p w14:paraId="124F0A9A" w14:textId="77777777" w:rsidR="003D7AF8" w:rsidRPr="00153517" w:rsidRDefault="003D7AF8" w:rsidP="003D7AF8">
      <w:pPr>
        <w:spacing w:after="0" w:line="240" w:lineRule="auto"/>
        <w:jc w:val="both"/>
        <w:rPr>
          <w:rFonts w:ascii="Verdana" w:eastAsia="Cambria" w:hAnsi="Verdana" w:cs="Calibri"/>
          <w:i/>
          <w:sz w:val="20"/>
          <w:szCs w:val="20"/>
        </w:rPr>
      </w:pPr>
      <w:r w:rsidRPr="00153517">
        <w:rPr>
          <w:rFonts w:ascii="Verdana" w:eastAsia="Cambria" w:hAnsi="Verdana" w:cs="Calibri"/>
          <w:i/>
          <w:sz w:val="20"/>
          <w:szCs w:val="20"/>
        </w:rPr>
        <w:t>OPOMBA:</w:t>
      </w:r>
    </w:p>
    <w:p w14:paraId="7D565FFA" w14:textId="77777777" w:rsidR="003D7AF8" w:rsidRPr="00153517" w:rsidRDefault="003D7AF8" w:rsidP="003D7AF8">
      <w:pPr>
        <w:spacing w:after="0" w:line="240" w:lineRule="auto"/>
        <w:jc w:val="both"/>
        <w:rPr>
          <w:rFonts w:ascii="Verdana" w:eastAsia="Cambria" w:hAnsi="Verdana" w:cs="Times New Roman"/>
          <w:i/>
          <w:sz w:val="20"/>
          <w:szCs w:val="20"/>
        </w:rPr>
      </w:pPr>
      <w:r w:rsidRPr="00153517">
        <w:rPr>
          <w:rFonts w:ascii="Verdana" w:eastAsia="Cambria" w:hAnsi="Verdana" w:cs="Calibri"/>
          <w:i/>
          <w:sz w:val="20"/>
          <w:szCs w:val="20"/>
        </w:rPr>
        <w:t>Klasifikacija KLASIUS-P-16 je implementacija klasifikacije ISCED-F 2013, ki je nadomestila ISCED 1997 in je začela veljati 1. 1. 2018 s spremembo Uredbe o uvedbi in uporabi klasifikacijskega sistema izobraževanja in usposabljanja (Ur. l. RS, št. 8/17). Klasius-P-16 je namenjen nacionalnemu in mednarodnemu statističnemu zbiranju podatkov in poročanju.</w:t>
      </w:r>
    </w:p>
    <w:p w14:paraId="75ACF633" w14:textId="77777777" w:rsidR="003D7AF8" w:rsidRDefault="003D7AF8" w:rsidP="003D7AF8">
      <w:pPr>
        <w:spacing w:after="0" w:line="240" w:lineRule="auto"/>
        <w:rPr>
          <w:rFonts w:ascii="Verdana" w:eastAsia="Cambria" w:hAnsi="Verdana" w:cs="Times New Roman"/>
        </w:rPr>
      </w:pPr>
    </w:p>
    <w:p w14:paraId="076DF073" w14:textId="77777777" w:rsidR="003D7AF8" w:rsidRDefault="003D7AF8" w:rsidP="003D7AF8">
      <w:pPr>
        <w:spacing w:after="0" w:line="240" w:lineRule="auto"/>
        <w:rPr>
          <w:rFonts w:ascii="Verdana" w:eastAsia="Cambria" w:hAnsi="Verdana" w:cs="Times New Roman"/>
        </w:rPr>
      </w:pPr>
    </w:p>
    <w:tbl>
      <w:tblPr>
        <w:tblW w:w="9961" w:type="dxa"/>
        <w:tblInd w:w="-72" w:type="dxa"/>
        <w:tblBorders>
          <w:top w:val="single" w:sz="2" w:space="0" w:color="993366"/>
          <w:left w:val="single" w:sz="18" w:space="0" w:color="993366"/>
          <w:bottom w:val="single" w:sz="2" w:space="0" w:color="993366"/>
          <w:right w:val="single" w:sz="18" w:space="0" w:color="993366"/>
          <w:insideH w:val="single" w:sz="6" w:space="0" w:color="993366"/>
          <w:insideV w:val="single" w:sz="6" w:space="0" w:color="993366"/>
        </w:tblBorders>
        <w:tblLayout w:type="fixed"/>
        <w:tblLook w:val="04A0" w:firstRow="1" w:lastRow="0" w:firstColumn="1" w:lastColumn="0" w:noHBand="0" w:noVBand="1"/>
      </w:tblPr>
      <w:tblGrid>
        <w:gridCol w:w="2165"/>
        <w:gridCol w:w="1984"/>
        <w:gridCol w:w="1985"/>
        <w:gridCol w:w="1276"/>
        <w:gridCol w:w="2551"/>
      </w:tblGrid>
      <w:tr w:rsidR="003D7AF8" w:rsidRPr="00724F21" w14:paraId="78A3B33E" w14:textId="77777777" w:rsidTr="00E07F6C">
        <w:tc>
          <w:tcPr>
            <w:tcW w:w="9961" w:type="dxa"/>
            <w:gridSpan w:val="5"/>
            <w:tcBorders>
              <w:top w:val="single" w:sz="2" w:space="0" w:color="993366"/>
              <w:left w:val="single" w:sz="18" w:space="0" w:color="993366"/>
              <w:bottom w:val="single" w:sz="6" w:space="0" w:color="993366"/>
              <w:right w:val="single" w:sz="18" w:space="0" w:color="993366"/>
            </w:tcBorders>
            <w:shd w:val="clear" w:color="auto" w:fill="E5B8B7"/>
          </w:tcPr>
          <w:p w14:paraId="1FAE313D" w14:textId="77777777" w:rsidR="003D7AF8" w:rsidRPr="00724F21" w:rsidRDefault="003D7AF8" w:rsidP="000C6F9E">
            <w:pPr>
              <w:spacing w:after="0" w:line="240" w:lineRule="auto"/>
              <w:ind w:left="360"/>
              <w:contextualSpacing/>
              <w:rPr>
                <w:rFonts w:ascii="Verdana" w:eastAsia="Calibri" w:hAnsi="Verdana" w:cs="Times New Roman"/>
                <w:b/>
                <w:sz w:val="20"/>
                <w:szCs w:val="20"/>
              </w:rPr>
            </w:pPr>
            <w:r>
              <w:rPr>
                <w:rFonts w:ascii="Verdana" w:eastAsia="Calibri" w:hAnsi="Verdana" w:cs="Times New Roman"/>
                <w:b/>
                <w:sz w:val="20"/>
                <w:szCs w:val="20"/>
              </w:rPr>
              <w:t xml:space="preserve">Preglednica 7: </w:t>
            </w:r>
            <w:r w:rsidRPr="00724F21">
              <w:rPr>
                <w:rFonts w:ascii="Verdana" w:eastAsia="Calibri" w:hAnsi="Verdana" w:cs="Times New Roman"/>
                <w:b/>
                <w:sz w:val="20"/>
                <w:szCs w:val="20"/>
              </w:rPr>
              <w:t xml:space="preserve">ŠTEVILO NEREŠENIH VLOG NA DAN </w:t>
            </w:r>
            <w:r>
              <w:rPr>
                <w:rFonts w:ascii="Verdana" w:eastAsia="Calibri" w:hAnsi="Verdana" w:cs="Times New Roman"/>
                <w:b/>
                <w:sz w:val="20"/>
                <w:szCs w:val="20"/>
              </w:rPr>
              <w:t>31</w:t>
            </w:r>
            <w:r w:rsidRPr="00724F21">
              <w:rPr>
                <w:rFonts w:ascii="Verdana" w:eastAsia="Calibri" w:hAnsi="Verdana" w:cs="Times New Roman"/>
                <w:b/>
                <w:sz w:val="20"/>
                <w:szCs w:val="20"/>
              </w:rPr>
              <w:t xml:space="preserve">. 12. 2018   </w:t>
            </w:r>
          </w:p>
        </w:tc>
      </w:tr>
      <w:tr w:rsidR="003D7AF8" w:rsidRPr="00724F21" w14:paraId="631CD09B" w14:textId="77777777" w:rsidTr="00E07F6C">
        <w:tc>
          <w:tcPr>
            <w:tcW w:w="9961" w:type="dxa"/>
            <w:gridSpan w:val="5"/>
            <w:shd w:val="clear" w:color="auto" w:fill="D6E3BC"/>
          </w:tcPr>
          <w:p w14:paraId="3B2059AB" w14:textId="77777777" w:rsidR="003D7AF8" w:rsidRPr="00724F21" w:rsidRDefault="003D7AF8" w:rsidP="000C6F9E">
            <w:pPr>
              <w:spacing w:after="0" w:line="240" w:lineRule="auto"/>
              <w:ind w:left="360"/>
              <w:rPr>
                <w:rFonts w:ascii="Verdana" w:eastAsia="Cambria" w:hAnsi="Verdana" w:cs="Times New Roman"/>
                <w:b/>
                <w:sz w:val="20"/>
                <w:szCs w:val="20"/>
              </w:rPr>
            </w:pPr>
            <w:r w:rsidRPr="00724F21">
              <w:rPr>
                <w:rFonts w:ascii="Verdana" w:eastAsia="Calibri" w:hAnsi="Verdana" w:cs="Times New Roman"/>
                <w:b/>
                <w:sz w:val="20"/>
                <w:szCs w:val="20"/>
              </w:rPr>
              <w:t>akreditacije v visokem šolstvu</w:t>
            </w:r>
          </w:p>
        </w:tc>
      </w:tr>
      <w:tr w:rsidR="003D7AF8" w:rsidRPr="00724F21" w14:paraId="6361A1AA" w14:textId="77777777" w:rsidTr="00E07F6C">
        <w:trPr>
          <w:trHeight w:val="775"/>
        </w:trPr>
        <w:tc>
          <w:tcPr>
            <w:tcW w:w="2165" w:type="dxa"/>
            <w:shd w:val="clear" w:color="auto" w:fill="B8CCE4"/>
          </w:tcPr>
          <w:p w14:paraId="637BC231" w14:textId="77777777" w:rsidR="003D7AF8" w:rsidRPr="00724F21" w:rsidRDefault="003D7AF8" w:rsidP="000C6F9E">
            <w:pPr>
              <w:spacing w:after="0" w:line="240" w:lineRule="auto"/>
              <w:rPr>
                <w:rFonts w:ascii="Verdana" w:eastAsia="Cambria" w:hAnsi="Verdana" w:cs="Times New Roman"/>
                <w:b/>
                <w:sz w:val="20"/>
                <w:szCs w:val="20"/>
              </w:rPr>
            </w:pPr>
            <w:r w:rsidRPr="00724F21">
              <w:rPr>
                <w:rFonts w:ascii="Verdana" w:eastAsia="Cambria" w:hAnsi="Verdana" w:cs="Times New Roman"/>
                <w:b/>
                <w:sz w:val="20"/>
                <w:szCs w:val="20"/>
              </w:rPr>
              <w:t xml:space="preserve"> </w:t>
            </w:r>
          </w:p>
        </w:tc>
        <w:tc>
          <w:tcPr>
            <w:tcW w:w="1984" w:type="dxa"/>
            <w:shd w:val="clear" w:color="auto" w:fill="B8CCE4"/>
          </w:tcPr>
          <w:p w14:paraId="1DD5C39F" w14:textId="77777777" w:rsidR="003D7AF8" w:rsidRPr="00724F21" w:rsidRDefault="003D7AF8" w:rsidP="000C6F9E">
            <w:pPr>
              <w:spacing w:after="0" w:line="240" w:lineRule="auto"/>
              <w:rPr>
                <w:rFonts w:ascii="Verdana" w:eastAsia="Cambria" w:hAnsi="Verdana" w:cs="Times New Roman"/>
                <w:i/>
                <w:sz w:val="20"/>
                <w:szCs w:val="20"/>
              </w:rPr>
            </w:pPr>
            <w:r w:rsidRPr="00724F21">
              <w:rPr>
                <w:rFonts w:ascii="Verdana" w:eastAsia="Cambria" w:hAnsi="Verdana" w:cs="Times New Roman"/>
                <w:i/>
                <w:sz w:val="20"/>
                <w:szCs w:val="20"/>
              </w:rPr>
              <w:t>Število nerešenih vlog po starih merilih</w:t>
            </w:r>
          </w:p>
        </w:tc>
        <w:tc>
          <w:tcPr>
            <w:tcW w:w="1985" w:type="dxa"/>
            <w:shd w:val="clear" w:color="auto" w:fill="B8CCE4"/>
          </w:tcPr>
          <w:p w14:paraId="2CBE5ADE" w14:textId="77777777" w:rsidR="003D7AF8" w:rsidRPr="00724F21" w:rsidRDefault="003D7AF8" w:rsidP="000C6F9E">
            <w:pPr>
              <w:spacing w:after="0" w:line="240" w:lineRule="auto"/>
              <w:rPr>
                <w:rFonts w:ascii="Verdana" w:eastAsia="Cambria" w:hAnsi="Verdana" w:cs="Times New Roman"/>
                <w:i/>
                <w:sz w:val="20"/>
                <w:szCs w:val="20"/>
              </w:rPr>
            </w:pPr>
            <w:r w:rsidRPr="00724F21">
              <w:rPr>
                <w:rFonts w:ascii="Verdana" w:eastAsia="Cambria" w:hAnsi="Verdana" w:cs="Times New Roman"/>
                <w:i/>
                <w:sz w:val="20"/>
                <w:szCs w:val="20"/>
              </w:rPr>
              <w:t>Število nerešenih vlog po novih merilih</w:t>
            </w:r>
          </w:p>
        </w:tc>
        <w:tc>
          <w:tcPr>
            <w:tcW w:w="1276" w:type="dxa"/>
            <w:tcBorders>
              <w:bottom w:val="single" w:sz="6" w:space="0" w:color="993366"/>
            </w:tcBorders>
            <w:shd w:val="clear" w:color="auto" w:fill="B8CCE4"/>
          </w:tcPr>
          <w:p w14:paraId="1DB0C1A7" w14:textId="77777777" w:rsidR="003D7AF8" w:rsidRPr="00724F21" w:rsidRDefault="003D7AF8" w:rsidP="000C6F9E">
            <w:pPr>
              <w:spacing w:after="0" w:line="240" w:lineRule="auto"/>
              <w:rPr>
                <w:rFonts w:ascii="Verdana" w:eastAsia="Cambria" w:hAnsi="Verdana" w:cs="Times New Roman"/>
                <w:i/>
                <w:sz w:val="20"/>
                <w:szCs w:val="20"/>
              </w:rPr>
            </w:pPr>
            <w:r w:rsidRPr="00724F21">
              <w:rPr>
                <w:rFonts w:ascii="Verdana" w:eastAsia="Cambria" w:hAnsi="Verdana" w:cs="Times New Roman"/>
                <w:i/>
                <w:sz w:val="20"/>
                <w:szCs w:val="20"/>
              </w:rPr>
              <w:t>Število obiskov</w:t>
            </w:r>
          </w:p>
        </w:tc>
        <w:tc>
          <w:tcPr>
            <w:tcW w:w="2551" w:type="dxa"/>
            <w:tcBorders>
              <w:bottom w:val="single" w:sz="6" w:space="0" w:color="993366"/>
            </w:tcBorders>
            <w:shd w:val="clear" w:color="auto" w:fill="B8CCE4"/>
          </w:tcPr>
          <w:p w14:paraId="2101F6B1" w14:textId="77777777" w:rsidR="003D7AF8" w:rsidRPr="00724F21" w:rsidRDefault="003D7AF8" w:rsidP="000C6F9E">
            <w:pPr>
              <w:spacing w:after="0" w:line="240" w:lineRule="auto"/>
              <w:rPr>
                <w:rFonts w:ascii="Verdana" w:eastAsia="Cambria" w:hAnsi="Verdana" w:cs="Times New Roman"/>
                <w:i/>
                <w:sz w:val="20"/>
                <w:szCs w:val="20"/>
              </w:rPr>
            </w:pPr>
            <w:r w:rsidRPr="00724F21">
              <w:rPr>
                <w:rFonts w:ascii="Verdana" w:eastAsia="Cambria" w:hAnsi="Verdana" w:cs="Times New Roman"/>
                <w:i/>
                <w:sz w:val="20"/>
                <w:szCs w:val="20"/>
              </w:rPr>
              <w:t>Opombe</w:t>
            </w:r>
          </w:p>
        </w:tc>
      </w:tr>
      <w:tr w:rsidR="003D7AF8" w:rsidRPr="00724F21" w14:paraId="10C29F38" w14:textId="77777777" w:rsidTr="00E07F6C">
        <w:tc>
          <w:tcPr>
            <w:tcW w:w="2165" w:type="dxa"/>
            <w:shd w:val="clear" w:color="auto" w:fill="FFFFFF"/>
          </w:tcPr>
          <w:p w14:paraId="3383EDE5" w14:textId="77777777" w:rsidR="003D7AF8" w:rsidRPr="00724F21" w:rsidRDefault="003D7AF8" w:rsidP="000C6F9E">
            <w:pPr>
              <w:spacing w:after="0" w:line="240" w:lineRule="auto"/>
              <w:rPr>
                <w:rFonts w:ascii="Verdana" w:eastAsia="Cambria" w:hAnsi="Verdana" w:cs="Times New Roman"/>
                <w:sz w:val="20"/>
                <w:szCs w:val="20"/>
              </w:rPr>
            </w:pPr>
            <w:r w:rsidRPr="00724F21">
              <w:rPr>
                <w:rFonts w:ascii="Verdana" w:eastAsia="Cambria" w:hAnsi="Verdana" w:cs="Times New Roman"/>
                <w:sz w:val="20"/>
                <w:szCs w:val="20"/>
              </w:rPr>
              <w:t>Prva akreditacija programov</w:t>
            </w:r>
          </w:p>
        </w:tc>
        <w:tc>
          <w:tcPr>
            <w:tcW w:w="1984" w:type="dxa"/>
            <w:shd w:val="clear" w:color="auto" w:fill="FFFFFF"/>
          </w:tcPr>
          <w:p w14:paraId="674A3CAF" w14:textId="77777777" w:rsidR="003D7AF8" w:rsidRPr="00724F21" w:rsidRDefault="003D7AF8" w:rsidP="000C6F9E">
            <w:pPr>
              <w:spacing w:after="0" w:line="240" w:lineRule="auto"/>
              <w:rPr>
                <w:rFonts w:ascii="Verdana" w:eastAsia="Cambria" w:hAnsi="Verdana" w:cs="Times New Roman"/>
                <w:sz w:val="20"/>
                <w:szCs w:val="20"/>
              </w:rPr>
            </w:pPr>
            <w:r w:rsidRPr="00724F21">
              <w:rPr>
                <w:rFonts w:ascii="Verdana" w:eastAsia="Cambria" w:hAnsi="Verdana" w:cs="Times New Roman"/>
                <w:sz w:val="20"/>
                <w:szCs w:val="20"/>
              </w:rPr>
              <w:t>3</w:t>
            </w:r>
          </w:p>
        </w:tc>
        <w:tc>
          <w:tcPr>
            <w:tcW w:w="1985" w:type="dxa"/>
            <w:shd w:val="clear" w:color="auto" w:fill="FFFFFF"/>
          </w:tcPr>
          <w:p w14:paraId="26070541" w14:textId="77777777" w:rsidR="003D7AF8" w:rsidRPr="00D33B92" w:rsidRDefault="003D7AF8" w:rsidP="000C6F9E">
            <w:pPr>
              <w:spacing w:after="0" w:line="240" w:lineRule="auto"/>
              <w:rPr>
                <w:rFonts w:ascii="Verdana" w:eastAsia="Cambria" w:hAnsi="Verdana" w:cs="Times New Roman"/>
                <w:sz w:val="20"/>
                <w:szCs w:val="20"/>
              </w:rPr>
            </w:pPr>
            <w:r w:rsidRPr="00D33B92">
              <w:rPr>
                <w:rFonts w:ascii="Verdana" w:eastAsia="Cambria" w:hAnsi="Verdana" w:cs="Times New Roman"/>
                <w:sz w:val="20"/>
                <w:szCs w:val="20"/>
              </w:rPr>
              <w:t>24</w:t>
            </w:r>
          </w:p>
        </w:tc>
        <w:tc>
          <w:tcPr>
            <w:tcW w:w="1276" w:type="dxa"/>
            <w:tcBorders>
              <w:top w:val="single" w:sz="6" w:space="0" w:color="993366"/>
              <w:bottom w:val="single" w:sz="6" w:space="0" w:color="993366"/>
            </w:tcBorders>
            <w:shd w:val="clear" w:color="auto" w:fill="FFFFFF"/>
          </w:tcPr>
          <w:p w14:paraId="766155DE" w14:textId="77777777" w:rsidR="003D7AF8" w:rsidRPr="00724F21" w:rsidRDefault="003D7AF8" w:rsidP="000C6F9E">
            <w:pPr>
              <w:spacing w:after="0" w:line="240" w:lineRule="auto"/>
              <w:rPr>
                <w:rFonts w:ascii="Verdana" w:eastAsia="Cambria" w:hAnsi="Verdana" w:cs="Times New Roman"/>
                <w:sz w:val="20"/>
                <w:szCs w:val="20"/>
              </w:rPr>
            </w:pPr>
            <w:r w:rsidRPr="00724F21">
              <w:rPr>
                <w:rFonts w:ascii="Verdana" w:eastAsia="Cambria" w:hAnsi="Verdana" w:cs="Times New Roman"/>
                <w:sz w:val="20"/>
                <w:szCs w:val="20"/>
              </w:rPr>
              <w:t>3</w:t>
            </w:r>
          </w:p>
        </w:tc>
        <w:tc>
          <w:tcPr>
            <w:tcW w:w="2551" w:type="dxa"/>
            <w:tcBorders>
              <w:top w:val="single" w:sz="6" w:space="0" w:color="993366"/>
              <w:bottom w:val="single" w:sz="6" w:space="0" w:color="993366"/>
            </w:tcBorders>
            <w:shd w:val="clear" w:color="auto" w:fill="FFFFFF"/>
          </w:tcPr>
          <w:p w14:paraId="0F281BE3" w14:textId="624E4CBE" w:rsidR="003D7AF8" w:rsidRPr="00724F21" w:rsidRDefault="003D7AF8" w:rsidP="008A7F56">
            <w:pPr>
              <w:spacing w:after="0" w:line="240" w:lineRule="auto"/>
              <w:rPr>
                <w:rFonts w:ascii="Verdana" w:eastAsia="Cambria" w:hAnsi="Verdana" w:cs="Times New Roman"/>
                <w:sz w:val="20"/>
                <w:szCs w:val="20"/>
              </w:rPr>
            </w:pPr>
            <w:r w:rsidRPr="00724F21">
              <w:rPr>
                <w:rFonts w:ascii="Verdana" w:eastAsia="Cambria" w:hAnsi="Verdana" w:cs="Times New Roman"/>
                <w:sz w:val="20"/>
                <w:szCs w:val="20"/>
              </w:rPr>
              <w:t xml:space="preserve">2 </w:t>
            </w:r>
            <w:r w:rsidR="008A7F56">
              <w:rPr>
                <w:rFonts w:ascii="Verdana" w:eastAsia="Cambria" w:hAnsi="Verdana" w:cs="Times New Roman"/>
                <w:sz w:val="20"/>
                <w:szCs w:val="20"/>
              </w:rPr>
              <w:t>po</w:t>
            </w:r>
            <w:r w:rsidRPr="00724F21">
              <w:rPr>
                <w:rFonts w:ascii="Verdana" w:eastAsia="Cambria" w:hAnsi="Verdana" w:cs="Times New Roman"/>
                <w:sz w:val="20"/>
                <w:szCs w:val="20"/>
              </w:rPr>
              <w:t xml:space="preserve"> pritožb</w:t>
            </w:r>
            <w:r w:rsidR="008A7F56">
              <w:rPr>
                <w:rFonts w:ascii="Verdana" w:eastAsia="Cambria" w:hAnsi="Verdana" w:cs="Times New Roman"/>
                <w:sz w:val="20"/>
                <w:szCs w:val="20"/>
              </w:rPr>
              <w:t xml:space="preserve">i vrnjeni na </w:t>
            </w:r>
            <w:r w:rsidR="00084638">
              <w:rPr>
                <w:rFonts w:ascii="Verdana" w:eastAsia="Cambria" w:hAnsi="Verdana" w:cs="Times New Roman"/>
                <w:sz w:val="20"/>
                <w:szCs w:val="20"/>
              </w:rPr>
              <w:t>prvo</w:t>
            </w:r>
            <w:r w:rsidR="008A7F56">
              <w:rPr>
                <w:rFonts w:ascii="Verdana" w:eastAsia="Cambria" w:hAnsi="Verdana" w:cs="Times New Roman"/>
                <w:sz w:val="20"/>
                <w:szCs w:val="20"/>
              </w:rPr>
              <w:t xml:space="preserve"> stopnjo</w:t>
            </w:r>
            <w:r w:rsidRPr="00724F21">
              <w:rPr>
                <w:rFonts w:ascii="Verdana" w:eastAsia="Cambria" w:hAnsi="Verdana" w:cs="Times New Roman"/>
                <w:sz w:val="20"/>
                <w:szCs w:val="20"/>
              </w:rPr>
              <w:t xml:space="preserve">, 1 </w:t>
            </w:r>
            <w:r w:rsidR="008A7F56">
              <w:rPr>
                <w:rFonts w:ascii="Verdana" w:eastAsia="Cambria" w:hAnsi="Verdana" w:cs="Times New Roman"/>
                <w:sz w:val="20"/>
                <w:szCs w:val="20"/>
              </w:rPr>
              <w:t>postopek se na prošnjo vlagatelja ne nadaljuje</w:t>
            </w:r>
          </w:p>
        </w:tc>
      </w:tr>
      <w:tr w:rsidR="003D7AF8" w:rsidRPr="00724F21" w14:paraId="49EE37D3" w14:textId="77777777" w:rsidTr="00E07F6C">
        <w:tc>
          <w:tcPr>
            <w:tcW w:w="2165" w:type="dxa"/>
            <w:shd w:val="clear" w:color="auto" w:fill="FFFFFF"/>
          </w:tcPr>
          <w:p w14:paraId="1562F353" w14:textId="77777777" w:rsidR="003D7AF8" w:rsidRPr="00724F21" w:rsidRDefault="003D7AF8" w:rsidP="000C6F9E">
            <w:pPr>
              <w:spacing w:after="0" w:line="240" w:lineRule="auto"/>
              <w:rPr>
                <w:rFonts w:ascii="Verdana" w:eastAsia="Cambria" w:hAnsi="Verdana" w:cs="Times New Roman"/>
                <w:sz w:val="20"/>
                <w:szCs w:val="20"/>
              </w:rPr>
            </w:pPr>
            <w:r w:rsidRPr="00724F21">
              <w:rPr>
                <w:rFonts w:ascii="Verdana" w:eastAsia="Cambria" w:hAnsi="Verdana" w:cs="Times New Roman"/>
                <w:sz w:val="20"/>
                <w:szCs w:val="20"/>
              </w:rPr>
              <w:t>Podaljšanje akreditacije programov</w:t>
            </w:r>
          </w:p>
        </w:tc>
        <w:tc>
          <w:tcPr>
            <w:tcW w:w="1984" w:type="dxa"/>
            <w:shd w:val="clear" w:color="auto" w:fill="FFFFFF"/>
          </w:tcPr>
          <w:p w14:paraId="101D71AD" w14:textId="77777777" w:rsidR="003D7AF8" w:rsidRPr="00724F21" w:rsidRDefault="003D7AF8" w:rsidP="000C6F9E">
            <w:pPr>
              <w:spacing w:after="0" w:line="240" w:lineRule="auto"/>
              <w:rPr>
                <w:rFonts w:ascii="Verdana" w:eastAsia="Cambria" w:hAnsi="Verdana" w:cs="Times New Roman"/>
                <w:sz w:val="20"/>
                <w:szCs w:val="20"/>
              </w:rPr>
            </w:pPr>
            <w:r w:rsidRPr="00724F21">
              <w:rPr>
                <w:rFonts w:ascii="Verdana" w:eastAsia="Cambria" w:hAnsi="Verdana" w:cs="Times New Roman"/>
                <w:sz w:val="20"/>
                <w:szCs w:val="20"/>
              </w:rPr>
              <w:t>1</w:t>
            </w:r>
          </w:p>
        </w:tc>
        <w:tc>
          <w:tcPr>
            <w:tcW w:w="1985" w:type="dxa"/>
            <w:shd w:val="clear" w:color="auto" w:fill="FFFFFF"/>
          </w:tcPr>
          <w:p w14:paraId="549EA801" w14:textId="77777777" w:rsidR="003D7AF8" w:rsidRPr="00D33B92" w:rsidRDefault="003D7AF8" w:rsidP="000C6F9E">
            <w:pPr>
              <w:spacing w:after="0" w:line="240" w:lineRule="auto"/>
              <w:rPr>
                <w:rFonts w:ascii="Verdana" w:eastAsia="Cambria" w:hAnsi="Verdana" w:cs="Times New Roman"/>
                <w:sz w:val="20"/>
                <w:szCs w:val="20"/>
              </w:rPr>
            </w:pPr>
            <w:r w:rsidRPr="00D33B92">
              <w:rPr>
                <w:rFonts w:ascii="Verdana" w:eastAsia="Cambria" w:hAnsi="Verdana" w:cs="Times New Roman"/>
                <w:sz w:val="20"/>
                <w:szCs w:val="20"/>
              </w:rPr>
              <w:t>/</w:t>
            </w:r>
          </w:p>
        </w:tc>
        <w:tc>
          <w:tcPr>
            <w:tcW w:w="1276" w:type="dxa"/>
            <w:tcBorders>
              <w:top w:val="single" w:sz="6" w:space="0" w:color="993366"/>
              <w:bottom w:val="single" w:sz="6" w:space="0" w:color="993366"/>
            </w:tcBorders>
            <w:shd w:val="clear" w:color="auto" w:fill="FFFFFF"/>
          </w:tcPr>
          <w:p w14:paraId="65A00401" w14:textId="77777777" w:rsidR="003D7AF8" w:rsidRPr="00724F21" w:rsidRDefault="003D7AF8" w:rsidP="000C6F9E">
            <w:pPr>
              <w:spacing w:after="0" w:line="240" w:lineRule="auto"/>
              <w:rPr>
                <w:rFonts w:ascii="Verdana" w:eastAsia="Cambria" w:hAnsi="Verdana" w:cs="Times New Roman"/>
                <w:sz w:val="20"/>
                <w:szCs w:val="20"/>
              </w:rPr>
            </w:pPr>
            <w:r w:rsidRPr="00724F21">
              <w:rPr>
                <w:rFonts w:ascii="Verdana" w:eastAsia="Cambria" w:hAnsi="Verdana" w:cs="Times New Roman"/>
                <w:sz w:val="20"/>
                <w:szCs w:val="20"/>
              </w:rPr>
              <w:t>/</w:t>
            </w:r>
          </w:p>
        </w:tc>
        <w:tc>
          <w:tcPr>
            <w:tcW w:w="2551" w:type="dxa"/>
            <w:tcBorders>
              <w:top w:val="single" w:sz="6" w:space="0" w:color="993366"/>
              <w:bottom w:val="single" w:sz="6" w:space="0" w:color="993366"/>
            </w:tcBorders>
            <w:shd w:val="clear" w:color="auto" w:fill="FFFFFF"/>
          </w:tcPr>
          <w:p w14:paraId="46C68BCE" w14:textId="77777777" w:rsidR="003D7AF8" w:rsidRPr="00724F21" w:rsidRDefault="003D7AF8" w:rsidP="000C6F9E">
            <w:pPr>
              <w:spacing w:after="0" w:line="240" w:lineRule="auto"/>
              <w:rPr>
                <w:rFonts w:ascii="Verdana" w:eastAsia="Cambria" w:hAnsi="Verdana" w:cs="Times New Roman"/>
                <w:sz w:val="20"/>
                <w:szCs w:val="20"/>
              </w:rPr>
            </w:pPr>
            <w:r w:rsidRPr="00724F21">
              <w:rPr>
                <w:rFonts w:ascii="Verdana" w:eastAsia="Cambria" w:hAnsi="Verdana" w:cs="Times New Roman"/>
                <w:sz w:val="20"/>
                <w:szCs w:val="20"/>
              </w:rPr>
              <w:t>1 v pritožbenem postopku</w:t>
            </w:r>
          </w:p>
        </w:tc>
      </w:tr>
      <w:tr w:rsidR="003D7AF8" w:rsidRPr="00724F21" w14:paraId="305D8873" w14:textId="77777777" w:rsidTr="00E07F6C">
        <w:tc>
          <w:tcPr>
            <w:tcW w:w="2165" w:type="dxa"/>
            <w:shd w:val="clear" w:color="auto" w:fill="FFFFFF"/>
          </w:tcPr>
          <w:p w14:paraId="52E07943" w14:textId="77777777" w:rsidR="003D7AF8" w:rsidRPr="00724F21" w:rsidRDefault="003D7AF8" w:rsidP="000C6F9E">
            <w:pPr>
              <w:spacing w:after="0" w:line="240" w:lineRule="auto"/>
              <w:rPr>
                <w:rFonts w:ascii="Verdana" w:eastAsia="Cambria" w:hAnsi="Verdana" w:cs="Times New Roman"/>
                <w:sz w:val="20"/>
                <w:szCs w:val="20"/>
              </w:rPr>
            </w:pPr>
            <w:r w:rsidRPr="00724F21">
              <w:rPr>
                <w:rFonts w:ascii="Verdana" w:eastAsia="Cambria" w:hAnsi="Verdana" w:cs="Times New Roman"/>
                <w:sz w:val="20"/>
                <w:szCs w:val="20"/>
              </w:rPr>
              <w:t>Prva akreditacija zavodov</w:t>
            </w:r>
          </w:p>
        </w:tc>
        <w:tc>
          <w:tcPr>
            <w:tcW w:w="1984" w:type="dxa"/>
            <w:shd w:val="clear" w:color="auto" w:fill="FFFFFF"/>
          </w:tcPr>
          <w:p w14:paraId="0898D07E" w14:textId="77777777" w:rsidR="003D7AF8" w:rsidRPr="00724F21" w:rsidRDefault="003D7AF8" w:rsidP="000C6F9E">
            <w:pPr>
              <w:spacing w:after="0" w:line="240" w:lineRule="auto"/>
              <w:rPr>
                <w:rFonts w:ascii="Verdana" w:eastAsia="Cambria" w:hAnsi="Verdana" w:cs="Times New Roman"/>
                <w:sz w:val="20"/>
                <w:szCs w:val="20"/>
              </w:rPr>
            </w:pPr>
            <w:r w:rsidRPr="00724F21">
              <w:rPr>
                <w:rFonts w:ascii="Verdana" w:eastAsia="Cambria" w:hAnsi="Verdana" w:cs="Times New Roman"/>
                <w:sz w:val="20"/>
                <w:szCs w:val="20"/>
              </w:rPr>
              <w:t>3*</w:t>
            </w:r>
          </w:p>
        </w:tc>
        <w:tc>
          <w:tcPr>
            <w:tcW w:w="1985" w:type="dxa"/>
            <w:shd w:val="clear" w:color="auto" w:fill="FFFFFF"/>
          </w:tcPr>
          <w:p w14:paraId="69831A62" w14:textId="77777777" w:rsidR="003D7AF8" w:rsidRPr="00D33B92" w:rsidRDefault="003D7AF8" w:rsidP="000C6F9E">
            <w:pPr>
              <w:spacing w:after="0" w:line="240" w:lineRule="auto"/>
              <w:rPr>
                <w:rFonts w:ascii="Verdana" w:eastAsia="Cambria" w:hAnsi="Verdana" w:cs="Times New Roman"/>
                <w:sz w:val="20"/>
                <w:szCs w:val="20"/>
              </w:rPr>
            </w:pPr>
            <w:r w:rsidRPr="00D33B92">
              <w:rPr>
                <w:rFonts w:ascii="Verdana" w:eastAsia="Cambria" w:hAnsi="Verdana" w:cs="Times New Roman"/>
                <w:sz w:val="20"/>
                <w:szCs w:val="20"/>
              </w:rPr>
              <w:t>/</w:t>
            </w:r>
          </w:p>
        </w:tc>
        <w:tc>
          <w:tcPr>
            <w:tcW w:w="1276" w:type="dxa"/>
            <w:tcBorders>
              <w:top w:val="single" w:sz="6" w:space="0" w:color="993366"/>
              <w:bottom w:val="single" w:sz="6" w:space="0" w:color="993366"/>
            </w:tcBorders>
            <w:shd w:val="clear" w:color="auto" w:fill="FFFFFF"/>
          </w:tcPr>
          <w:p w14:paraId="65980CAC" w14:textId="77777777" w:rsidR="003D7AF8" w:rsidRPr="00724F21" w:rsidRDefault="003D7AF8" w:rsidP="000C6F9E">
            <w:pPr>
              <w:spacing w:after="0" w:line="240" w:lineRule="auto"/>
              <w:rPr>
                <w:rFonts w:ascii="Verdana" w:eastAsia="Cambria" w:hAnsi="Verdana" w:cs="Times New Roman"/>
                <w:sz w:val="20"/>
                <w:szCs w:val="20"/>
              </w:rPr>
            </w:pPr>
            <w:r w:rsidRPr="00724F21">
              <w:rPr>
                <w:rFonts w:ascii="Verdana" w:eastAsia="Cambria" w:hAnsi="Verdana" w:cs="Times New Roman"/>
                <w:sz w:val="20"/>
                <w:szCs w:val="20"/>
              </w:rPr>
              <w:t>1</w:t>
            </w:r>
          </w:p>
        </w:tc>
        <w:tc>
          <w:tcPr>
            <w:tcW w:w="2551" w:type="dxa"/>
            <w:tcBorders>
              <w:top w:val="single" w:sz="6" w:space="0" w:color="993366"/>
              <w:bottom w:val="single" w:sz="6" w:space="0" w:color="993366"/>
            </w:tcBorders>
            <w:shd w:val="clear" w:color="auto" w:fill="FFFFFF"/>
          </w:tcPr>
          <w:p w14:paraId="152B11FB" w14:textId="77777777" w:rsidR="003D7AF8" w:rsidRPr="00724F21" w:rsidRDefault="003D7AF8" w:rsidP="000C6F9E">
            <w:pPr>
              <w:spacing w:after="0" w:line="240" w:lineRule="auto"/>
              <w:rPr>
                <w:rFonts w:ascii="Verdana" w:eastAsia="Cambria" w:hAnsi="Verdana" w:cs="Times New Roman"/>
                <w:sz w:val="20"/>
                <w:szCs w:val="20"/>
              </w:rPr>
            </w:pPr>
            <w:r w:rsidRPr="00724F21">
              <w:rPr>
                <w:rFonts w:ascii="Verdana" w:eastAsia="Cambria" w:hAnsi="Verdana" w:cs="Times New Roman"/>
                <w:sz w:val="20"/>
                <w:szCs w:val="20"/>
              </w:rPr>
              <w:t>1 v pritožbenem postopku</w:t>
            </w:r>
          </w:p>
        </w:tc>
      </w:tr>
      <w:tr w:rsidR="003D7AF8" w:rsidRPr="00724F21" w14:paraId="0B86B3FF" w14:textId="77777777" w:rsidTr="00E07F6C">
        <w:tc>
          <w:tcPr>
            <w:tcW w:w="2165" w:type="dxa"/>
            <w:tcBorders>
              <w:bottom w:val="single" w:sz="6" w:space="0" w:color="993366"/>
            </w:tcBorders>
          </w:tcPr>
          <w:p w14:paraId="0F487B72" w14:textId="77777777" w:rsidR="003D7AF8" w:rsidRPr="00724F21" w:rsidRDefault="003D7AF8" w:rsidP="000C6F9E">
            <w:pPr>
              <w:spacing w:after="0" w:line="240" w:lineRule="auto"/>
              <w:rPr>
                <w:rFonts w:ascii="Verdana" w:eastAsia="Cambria" w:hAnsi="Verdana" w:cs="Times New Roman"/>
                <w:sz w:val="20"/>
                <w:szCs w:val="20"/>
              </w:rPr>
            </w:pPr>
            <w:r w:rsidRPr="00724F21">
              <w:rPr>
                <w:rFonts w:ascii="Verdana" w:eastAsia="Cambria" w:hAnsi="Verdana" w:cs="Times New Roman"/>
                <w:sz w:val="20"/>
                <w:szCs w:val="20"/>
              </w:rPr>
              <w:t>Podaljšanje akreditacije zavodov</w:t>
            </w:r>
          </w:p>
        </w:tc>
        <w:tc>
          <w:tcPr>
            <w:tcW w:w="1984" w:type="dxa"/>
            <w:tcBorders>
              <w:bottom w:val="single" w:sz="6" w:space="0" w:color="993366"/>
            </w:tcBorders>
          </w:tcPr>
          <w:p w14:paraId="6AB48BD2" w14:textId="77777777" w:rsidR="003D7AF8" w:rsidRPr="00724F21" w:rsidRDefault="003D7AF8" w:rsidP="000C6F9E">
            <w:pPr>
              <w:spacing w:after="0" w:line="240" w:lineRule="auto"/>
              <w:rPr>
                <w:rFonts w:ascii="Verdana" w:eastAsia="Cambria" w:hAnsi="Verdana" w:cs="Times New Roman"/>
                <w:sz w:val="20"/>
                <w:szCs w:val="20"/>
              </w:rPr>
            </w:pPr>
            <w:r w:rsidRPr="00724F21">
              <w:rPr>
                <w:rFonts w:ascii="Verdana" w:eastAsia="Cambria" w:hAnsi="Verdana" w:cs="Times New Roman"/>
                <w:sz w:val="20"/>
                <w:szCs w:val="20"/>
              </w:rPr>
              <w:t>/</w:t>
            </w:r>
          </w:p>
        </w:tc>
        <w:tc>
          <w:tcPr>
            <w:tcW w:w="1985" w:type="dxa"/>
            <w:tcBorders>
              <w:bottom w:val="single" w:sz="6" w:space="0" w:color="993366"/>
            </w:tcBorders>
            <w:shd w:val="clear" w:color="auto" w:fill="FFFFFF"/>
          </w:tcPr>
          <w:p w14:paraId="2B64D51A" w14:textId="77777777" w:rsidR="003D7AF8" w:rsidRPr="00D33B92" w:rsidRDefault="003D7AF8" w:rsidP="000C6F9E">
            <w:pPr>
              <w:spacing w:after="0" w:line="240" w:lineRule="auto"/>
              <w:rPr>
                <w:rFonts w:ascii="Verdana" w:eastAsia="Cambria" w:hAnsi="Verdana" w:cs="Times New Roman"/>
                <w:sz w:val="20"/>
                <w:szCs w:val="20"/>
              </w:rPr>
            </w:pPr>
            <w:r w:rsidRPr="00D33B92">
              <w:rPr>
                <w:rFonts w:ascii="Verdana" w:eastAsia="Cambria" w:hAnsi="Verdana" w:cs="Times New Roman"/>
                <w:sz w:val="20"/>
                <w:szCs w:val="20"/>
              </w:rPr>
              <w:t>3</w:t>
            </w:r>
          </w:p>
        </w:tc>
        <w:tc>
          <w:tcPr>
            <w:tcW w:w="1276" w:type="dxa"/>
            <w:tcBorders>
              <w:top w:val="single" w:sz="6" w:space="0" w:color="993366"/>
              <w:bottom w:val="single" w:sz="6" w:space="0" w:color="993366"/>
            </w:tcBorders>
            <w:shd w:val="clear" w:color="auto" w:fill="FFFFFF"/>
          </w:tcPr>
          <w:p w14:paraId="565009CE" w14:textId="77777777" w:rsidR="003D7AF8" w:rsidRPr="00724F21" w:rsidRDefault="003D7AF8" w:rsidP="000C6F9E">
            <w:pPr>
              <w:spacing w:after="0" w:line="240" w:lineRule="auto"/>
              <w:rPr>
                <w:rFonts w:ascii="Verdana" w:eastAsia="Cambria" w:hAnsi="Verdana" w:cs="Times New Roman"/>
                <w:sz w:val="20"/>
                <w:szCs w:val="20"/>
              </w:rPr>
            </w:pPr>
            <w:r w:rsidRPr="00724F21">
              <w:rPr>
                <w:rFonts w:ascii="Verdana" w:eastAsia="Cambria" w:hAnsi="Verdana" w:cs="Times New Roman"/>
                <w:sz w:val="20"/>
                <w:szCs w:val="20"/>
              </w:rPr>
              <w:t>3</w:t>
            </w:r>
          </w:p>
        </w:tc>
        <w:tc>
          <w:tcPr>
            <w:tcW w:w="2551" w:type="dxa"/>
            <w:tcBorders>
              <w:top w:val="single" w:sz="6" w:space="0" w:color="993366"/>
              <w:bottom w:val="single" w:sz="6" w:space="0" w:color="993366"/>
            </w:tcBorders>
            <w:shd w:val="clear" w:color="auto" w:fill="FFFFFF"/>
          </w:tcPr>
          <w:p w14:paraId="579508FD" w14:textId="77777777" w:rsidR="003D7AF8" w:rsidRPr="00724F21" w:rsidRDefault="003D7AF8" w:rsidP="000C6F9E">
            <w:pPr>
              <w:spacing w:after="0" w:line="240" w:lineRule="auto"/>
              <w:rPr>
                <w:rFonts w:ascii="Verdana" w:eastAsia="Cambria" w:hAnsi="Verdana" w:cs="Times New Roman"/>
                <w:sz w:val="20"/>
                <w:szCs w:val="20"/>
              </w:rPr>
            </w:pPr>
          </w:p>
        </w:tc>
      </w:tr>
      <w:tr w:rsidR="003D7AF8" w:rsidRPr="00724F21" w14:paraId="55305EFC" w14:textId="77777777" w:rsidTr="00E07F6C">
        <w:tc>
          <w:tcPr>
            <w:tcW w:w="2165" w:type="dxa"/>
            <w:tcBorders>
              <w:bottom w:val="single" w:sz="6" w:space="0" w:color="993366"/>
            </w:tcBorders>
          </w:tcPr>
          <w:p w14:paraId="49B3E832" w14:textId="77777777" w:rsidR="003D7AF8" w:rsidRPr="00724F21" w:rsidRDefault="003D7AF8" w:rsidP="000C6F9E">
            <w:pPr>
              <w:spacing w:after="0" w:line="240" w:lineRule="auto"/>
              <w:rPr>
                <w:rFonts w:ascii="Verdana" w:eastAsia="Cambria" w:hAnsi="Verdana" w:cs="Times New Roman"/>
                <w:sz w:val="20"/>
                <w:szCs w:val="20"/>
              </w:rPr>
            </w:pPr>
            <w:r w:rsidRPr="00724F21">
              <w:rPr>
                <w:rFonts w:ascii="Verdana" w:eastAsia="Cambria" w:hAnsi="Verdana" w:cs="Times New Roman"/>
                <w:sz w:val="20"/>
                <w:szCs w:val="20"/>
              </w:rPr>
              <w:t>Spremembe  zavodov</w:t>
            </w:r>
          </w:p>
        </w:tc>
        <w:tc>
          <w:tcPr>
            <w:tcW w:w="1984" w:type="dxa"/>
            <w:tcBorders>
              <w:bottom w:val="single" w:sz="6" w:space="0" w:color="993366"/>
            </w:tcBorders>
          </w:tcPr>
          <w:p w14:paraId="15DFA69A" w14:textId="77777777" w:rsidR="003D7AF8" w:rsidRPr="00724F21" w:rsidRDefault="003D7AF8" w:rsidP="000C6F9E">
            <w:pPr>
              <w:spacing w:after="0" w:line="240" w:lineRule="auto"/>
              <w:rPr>
                <w:rFonts w:ascii="Verdana" w:eastAsia="Cambria" w:hAnsi="Verdana" w:cs="Times New Roman"/>
                <w:sz w:val="20"/>
                <w:szCs w:val="20"/>
              </w:rPr>
            </w:pPr>
            <w:r w:rsidRPr="00724F21">
              <w:rPr>
                <w:rFonts w:ascii="Verdana" w:eastAsia="Cambria" w:hAnsi="Verdana" w:cs="Times New Roman"/>
                <w:sz w:val="20"/>
                <w:szCs w:val="20"/>
              </w:rPr>
              <w:t>/</w:t>
            </w:r>
          </w:p>
        </w:tc>
        <w:tc>
          <w:tcPr>
            <w:tcW w:w="1985" w:type="dxa"/>
            <w:tcBorders>
              <w:bottom w:val="single" w:sz="6" w:space="0" w:color="993366"/>
            </w:tcBorders>
            <w:shd w:val="clear" w:color="auto" w:fill="FFFFFF"/>
          </w:tcPr>
          <w:p w14:paraId="40070CA8" w14:textId="77777777" w:rsidR="003D7AF8" w:rsidRPr="00D33B92" w:rsidRDefault="003D7AF8" w:rsidP="000C6F9E">
            <w:pPr>
              <w:spacing w:after="0" w:line="240" w:lineRule="auto"/>
              <w:rPr>
                <w:rFonts w:ascii="Verdana" w:eastAsia="Cambria" w:hAnsi="Verdana" w:cs="Times New Roman"/>
                <w:sz w:val="20"/>
                <w:szCs w:val="20"/>
              </w:rPr>
            </w:pPr>
            <w:r w:rsidRPr="00D33B92">
              <w:rPr>
                <w:rFonts w:ascii="Verdana" w:eastAsia="Cambria" w:hAnsi="Verdana" w:cs="Times New Roman"/>
                <w:sz w:val="20"/>
                <w:szCs w:val="20"/>
              </w:rPr>
              <w:t>11**</w:t>
            </w:r>
          </w:p>
        </w:tc>
        <w:tc>
          <w:tcPr>
            <w:tcW w:w="1276" w:type="dxa"/>
            <w:tcBorders>
              <w:top w:val="single" w:sz="6" w:space="0" w:color="993366"/>
              <w:bottom w:val="single" w:sz="6" w:space="0" w:color="993366"/>
            </w:tcBorders>
            <w:shd w:val="clear" w:color="auto" w:fill="FFFFFF"/>
          </w:tcPr>
          <w:p w14:paraId="697D5109" w14:textId="77777777" w:rsidR="003D7AF8" w:rsidRPr="00724F21" w:rsidRDefault="003D7AF8" w:rsidP="000C6F9E">
            <w:pPr>
              <w:spacing w:after="0" w:line="240" w:lineRule="auto"/>
              <w:rPr>
                <w:rFonts w:ascii="Verdana" w:eastAsia="Cambria" w:hAnsi="Verdana" w:cs="Times New Roman"/>
                <w:sz w:val="20"/>
                <w:szCs w:val="20"/>
              </w:rPr>
            </w:pPr>
            <w:r w:rsidRPr="00724F21">
              <w:rPr>
                <w:rFonts w:ascii="Verdana" w:eastAsia="Cambria" w:hAnsi="Verdana" w:cs="Times New Roman"/>
                <w:sz w:val="20"/>
                <w:szCs w:val="20"/>
              </w:rPr>
              <w:t>2</w:t>
            </w:r>
          </w:p>
        </w:tc>
        <w:tc>
          <w:tcPr>
            <w:tcW w:w="2551" w:type="dxa"/>
            <w:tcBorders>
              <w:top w:val="single" w:sz="6" w:space="0" w:color="993366"/>
              <w:bottom w:val="single" w:sz="6" w:space="0" w:color="993366"/>
            </w:tcBorders>
            <w:shd w:val="clear" w:color="auto" w:fill="FFFFFF"/>
          </w:tcPr>
          <w:p w14:paraId="079AB578" w14:textId="77777777" w:rsidR="003D7AF8" w:rsidRPr="00724F21" w:rsidRDefault="003D7AF8" w:rsidP="000C6F9E">
            <w:pPr>
              <w:spacing w:after="0" w:line="240" w:lineRule="auto"/>
              <w:rPr>
                <w:rFonts w:ascii="Verdana" w:eastAsia="Cambria" w:hAnsi="Verdana" w:cs="Times New Roman"/>
                <w:sz w:val="20"/>
                <w:szCs w:val="20"/>
              </w:rPr>
            </w:pPr>
          </w:p>
        </w:tc>
      </w:tr>
      <w:tr w:rsidR="003D7AF8" w:rsidRPr="00724F21" w14:paraId="3C5185F0" w14:textId="77777777" w:rsidTr="00E07F6C">
        <w:tc>
          <w:tcPr>
            <w:tcW w:w="9961" w:type="dxa"/>
            <w:gridSpan w:val="5"/>
            <w:shd w:val="clear" w:color="auto" w:fill="D6E3BC"/>
          </w:tcPr>
          <w:p w14:paraId="3BB8D1B3" w14:textId="77777777" w:rsidR="003D7AF8" w:rsidRPr="00724F21" w:rsidRDefault="003D7AF8" w:rsidP="000C6F9E">
            <w:pPr>
              <w:spacing w:after="0" w:line="240" w:lineRule="auto"/>
              <w:ind w:left="360"/>
              <w:rPr>
                <w:rFonts w:ascii="Verdana" w:eastAsia="Cambria" w:hAnsi="Verdana" w:cs="Times New Roman"/>
                <w:b/>
                <w:sz w:val="20"/>
                <w:szCs w:val="20"/>
              </w:rPr>
            </w:pPr>
            <w:r w:rsidRPr="00724F21">
              <w:rPr>
                <w:rFonts w:ascii="Verdana" w:eastAsia="Cambria" w:hAnsi="Verdana" w:cs="Times New Roman"/>
                <w:b/>
                <w:sz w:val="20"/>
                <w:szCs w:val="20"/>
              </w:rPr>
              <w:t xml:space="preserve">evalvacije šol </w:t>
            </w:r>
          </w:p>
        </w:tc>
      </w:tr>
      <w:tr w:rsidR="003D7AF8" w:rsidRPr="00724F21" w14:paraId="006C417B" w14:textId="77777777" w:rsidTr="00E07F6C">
        <w:trPr>
          <w:trHeight w:val="736"/>
        </w:trPr>
        <w:tc>
          <w:tcPr>
            <w:tcW w:w="2165" w:type="dxa"/>
            <w:shd w:val="clear" w:color="auto" w:fill="B8CCE4"/>
          </w:tcPr>
          <w:p w14:paraId="1E8C0DB9" w14:textId="77777777" w:rsidR="003D7AF8" w:rsidRPr="00724F21" w:rsidRDefault="003D7AF8" w:rsidP="000C6F9E">
            <w:pPr>
              <w:spacing w:after="0" w:line="240" w:lineRule="auto"/>
              <w:rPr>
                <w:rFonts w:ascii="Verdana" w:eastAsia="Cambria" w:hAnsi="Verdana" w:cs="Times New Roman"/>
                <w:b/>
                <w:sz w:val="20"/>
                <w:szCs w:val="20"/>
              </w:rPr>
            </w:pPr>
          </w:p>
        </w:tc>
        <w:tc>
          <w:tcPr>
            <w:tcW w:w="1984" w:type="dxa"/>
            <w:shd w:val="clear" w:color="auto" w:fill="B8CCE4"/>
          </w:tcPr>
          <w:p w14:paraId="7DF73B42" w14:textId="77777777" w:rsidR="003D7AF8" w:rsidRPr="00724F21" w:rsidRDefault="003D7AF8" w:rsidP="000C6F9E">
            <w:pPr>
              <w:spacing w:after="0" w:line="240" w:lineRule="auto"/>
              <w:rPr>
                <w:rFonts w:ascii="Verdana" w:eastAsia="Cambria" w:hAnsi="Verdana" w:cs="Times New Roman"/>
                <w:i/>
                <w:sz w:val="20"/>
                <w:szCs w:val="20"/>
              </w:rPr>
            </w:pPr>
            <w:r w:rsidRPr="00724F21">
              <w:rPr>
                <w:rFonts w:ascii="Verdana" w:eastAsia="Cambria" w:hAnsi="Verdana" w:cs="Times New Roman"/>
                <w:i/>
                <w:sz w:val="20"/>
                <w:szCs w:val="20"/>
              </w:rPr>
              <w:t>Število nerešenih vlog po starih merilih</w:t>
            </w:r>
          </w:p>
          <w:p w14:paraId="10A95701" w14:textId="77777777" w:rsidR="003D7AF8" w:rsidRPr="00724F21" w:rsidRDefault="003D7AF8" w:rsidP="000C6F9E">
            <w:pPr>
              <w:spacing w:after="0" w:line="240" w:lineRule="auto"/>
              <w:rPr>
                <w:rFonts w:ascii="Verdana" w:eastAsia="Cambria" w:hAnsi="Verdana" w:cs="Times New Roman"/>
                <w:i/>
                <w:sz w:val="20"/>
                <w:szCs w:val="20"/>
              </w:rPr>
            </w:pPr>
          </w:p>
        </w:tc>
        <w:tc>
          <w:tcPr>
            <w:tcW w:w="1985" w:type="dxa"/>
            <w:shd w:val="clear" w:color="auto" w:fill="B8CCE4"/>
          </w:tcPr>
          <w:p w14:paraId="4B7B76F0" w14:textId="77777777" w:rsidR="003D7AF8" w:rsidRPr="00724F21" w:rsidRDefault="003D7AF8" w:rsidP="000C6F9E">
            <w:pPr>
              <w:spacing w:after="0" w:line="240" w:lineRule="auto"/>
              <w:rPr>
                <w:rFonts w:ascii="Verdana" w:eastAsia="Cambria" w:hAnsi="Verdana" w:cs="Times New Roman"/>
                <w:i/>
                <w:sz w:val="20"/>
                <w:szCs w:val="20"/>
              </w:rPr>
            </w:pPr>
            <w:r w:rsidRPr="00724F21">
              <w:rPr>
                <w:rFonts w:ascii="Verdana" w:eastAsia="Cambria" w:hAnsi="Verdana" w:cs="Times New Roman"/>
                <w:i/>
                <w:sz w:val="20"/>
                <w:szCs w:val="20"/>
              </w:rPr>
              <w:t>Število nerešenih vlog po novih merilih</w:t>
            </w:r>
          </w:p>
        </w:tc>
        <w:tc>
          <w:tcPr>
            <w:tcW w:w="1276" w:type="dxa"/>
            <w:tcBorders>
              <w:bottom w:val="single" w:sz="6" w:space="0" w:color="993366"/>
            </w:tcBorders>
            <w:shd w:val="clear" w:color="auto" w:fill="B8CCE4"/>
          </w:tcPr>
          <w:p w14:paraId="5A8EAA28" w14:textId="77777777" w:rsidR="003D7AF8" w:rsidRPr="00724F21" w:rsidRDefault="003D7AF8" w:rsidP="000C6F9E">
            <w:pPr>
              <w:spacing w:line="240" w:lineRule="auto"/>
              <w:rPr>
                <w:rFonts w:ascii="Verdana" w:eastAsia="Cambria" w:hAnsi="Verdana" w:cs="Times New Roman"/>
                <w:i/>
                <w:sz w:val="20"/>
                <w:szCs w:val="20"/>
              </w:rPr>
            </w:pPr>
            <w:r w:rsidRPr="00724F21">
              <w:rPr>
                <w:rFonts w:ascii="Verdana" w:eastAsia="Cambria" w:hAnsi="Verdana" w:cs="Times New Roman"/>
                <w:i/>
                <w:sz w:val="20"/>
                <w:szCs w:val="20"/>
              </w:rPr>
              <w:t>Število obiskov</w:t>
            </w:r>
          </w:p>
        </w:tc>
        <w:tc>
          <w:tcPr>
            <w:tcW w:w="2551" w:type="dxa"/>
            <w:tcBorders>
              <w:bottom w:val="single" w:sz="6" w:space="0" w:color="993366"/>
            </w:tcBorders>
            <w:shd w:val="clear" w:color="auto" w:fill="B8CCE4"/>
          </w:tcPr>
          <w:p w14:paraId="2E22999F" w14:textId="77777777" w:rsidR="003D7AF8" w:rsidRPr="00724F21" w:rsidRDefault="003D7AF8" w:rsidP="000C6F9E">
            <w:pPr>
              <w:spacing w:line="240" w:lineRule="auto"/>
              <w:rPr>
                <w:rFonts w:ascii="Verdana" w:eastAsia="Cambria" w:hAnsi="Verdana" w:cs="Times New Roman"/>
                <w:i/>
                <w:sz w:val="20"/>
                <w:szCs w:val="20"/>
              </w:rPr>
            </w:pPr>
            <w:r w:rsidRPr="00724F21">
              <w:rPr>
                <w:rFonts w:ascii="Verdana" w:eastAsia="Cambria" w:hAnsi="Verdana" w:cs="Times New Roman"/>
                <w:i/>
                <w:sz w:val="20"/>
                <w:szCs w:val="20"/>
              </w:rPr>
              <w:t>Opombe</w:t>
            </w:r>
          </w:p>
        </w:tc>
      </w:tr>
      <w:tr w:rsidR="003D7AF8" w:rsidRPr="00724F21" w14:paraId="40E955FE" w14:textId="77777777" w:rsidTr="00E07F6C">
        <w:trPr>
          <w:trHeight w:val="650"/>
        </w:trPr>
        <w:tc>
          <w:tcPr>
            <w:tcW w:w="2165" w:type="dxa"/>
            <w:shd w:val="clear" w:color="auto" w:fill="FFFFFF"/>
          </w:tcPr>
          <w:p w14:paraId="5418C18E" w14:textId="77777777" w:rsidR="003D7AF8" w:rsidRPr="00724F21" w:rsidRDefault="003D7AF8" w:rsidP="000C6F9E">
            <w:pPr>
              <w:spacing w:after="0" w:line="240" w:lineRule="auto"/>
              <w:rPr>
                <w:rFonts w:ascii="Verdana" w:eastAsia="Cambria" w:hAnsi="Verdana" w:cs="Times New Roman"/>
                <w:sz w:val="20"/>
                <w:szCs w:val="20"/>
              </w:rPr>
            </w:pPr>
            <w:r w:rsidRPr="00724F21">
              <w:rPr>
                <w:rFonts w:ascii="Verdana" w:eastAsia="Cambria" w:hAnsi="Verdana" w:cs="Times New Roman"/>
                <w:sz w:val="20"/>
                <w:szCs w:val="20"/>
              </w:rPr>
              <w:t>Zunanja evalvacija  šol***</w:t>
            </w:r>
          </w:p>
        </w:tc>
        <w:tc>
          <w:tcPr>
            <w:tcW w:w="1984" w:type="dxa"/>
            <w:shd w:val="clear" w:color="auto" w:fill="FFFFFF"/>
          </w:tcPr>
          <w:p w14:paraId="54C6556E" w14:textId="77777777" w:rsidR="003D7AF8" w:rsidRPr="00724F21" w:rsidRDefault="003D7AF8" w:rsidP="000C6F9E">
            <w:pPr>
              <w:spacing w:after="0" w:line="240" w:lineRule="auto"/>
              <w:rPr>
                <w:rFonts w:ascii="Verdana" w:eastAsia="Cambria" w:hAnsi="Verdana" w:cs="Times New Roman"/>
                <w:sz w:val="20"/>
                <w:szCs w:val="20"/>
              </w:rPr>
            </w:pPr>
            <w:r w:rsidRPr="00724F21">
              <w:rPr>
                <w:rFonts w:ascii="Verdana" w:eastAsia="Cambria" w:hAnsi="Verdana" w:cs="Times New Roman"/>
                <w:sz w:val="20"/>
                <w:szCs w:val="20"/>
              </w:rPr>
              <w:t>/</w:t>
            </w:r>
          </w:p>
        </w:tc>
        <w:tc>
          <w:tcPr>
            <w:tcW w:w="1985" w:type="dxa"/>
            <w:shd w:val="clear" w:color="auto" w:fill="FFFFFF"/>
          </w:tcPr>
          <w:p w14:paraId="57C83108" w14:textId="77777777" w:rsidR="003D7AF8" w:rsidRPr="00724F21" w:rsidRDefault="003D7AF8" w:rsidP="000C6F9E">
            <w:pPr>
              <w:spacing w:after="0" w:line="240" w:lineRule="auto"/>
              <w:rPr>
                <w:rFonts w:ascii="Verdana" w:eastAsia="Cambria" w:hAnsi="Verdana" w:cs="Times New Roman"/>
                <w:color w:val="000000"/>
                <w:sz w:val="20"/>
                <w:szCs w:val="20"/>
              </w:rPr>
            </w:pPr>
            <w:r w:rsidRPr="00724F21">
              <w:rPr>
                <w:rFonts w:ascii="Verdana" w:eastAsia="Cambria" w:hAnsi="Verdana" w:cs="Times New Roman"/>
                <w:color w:val="000000"/>
                <w:sz w:val="20"/>
                <w:szCs w:val="20"/>
              </w:rPr>
              <w:t>12</w:t>
            </w:r>
          </w:p>
        </w:tc>
        <w:tc>
          <w:tcPr>
            <w:tcW w:w="1276" w:type="dxa"/>
            <w:tcBorders>
              <w:top w:val="single" w:sz="6" w:space="0" w:color="993366"/>
              <w:bottom w:val="single" w:sz="6" w:space="0" w:color="993366"/>
            </w:tcBorders>
            <w:shd w:val="clear" w:color="auto" w:fill="FFFFFF"/>
          </w:tcPr>
          <w:p w14:paraId="360DD21B" w14:textId="77777777" w:rsidR="003D7AF8" w:rsidRPr="00724F21" w:rsidRDefault="003D7AF8" w:rsidP="000C6F9E">
            <w:pPr>
              <w:spacing w:after="0" w:line="240" w:lineRule="auto"/>
              <w:rPr>
                <w:rFonts w:ascii="Verdana" w:eastAsia="Cambria" w:hAnsi="Verdana" w:cs="Times New Roman"/>
                <w:color w:val="000000"/>
                <w:sz w:val="20"/>
                <w:szCs w:val="20"/>
              </w:rPr>
            </w:pPr>
            <w:r w:rsidRPr="00724F21">
              <w:rPr>
                <w:rFonts w:ascii="Verdana" w:eastAsia="Cambria" w:hAnsi="Verdana" w:cs="Times New Roman"/>
                <w:color w:val="000000"/>
                <w:sz w:val="20"/>
                <w:szCs w:val="20"/>
              </w:rPr>
              <w:t>6</w:t>
            </w:r>
          </w:p>
        </w:tc>
        <w:tc>
          <w:tcPr>
            <w:tcW w:w="2551" w:type="dxa"/>
            <w:tcBorders>
              <w:top w:val="single" w:sz="6" w:space="0" w:color="993366"/>
              <w:bottom w:val="single" w:sz="6" w:space="0" w:color="993366"/>
            </w:tcBorders>
            <w:shd w:val="clear" w:color="auto" w:fill="FFFFFF"/>
          </w:tcPr>
          <w:p w14:paraId="4B421340" w14:textId="77777777" w:rsidR="003D7AF8" w:rsidRPr="00724F21" w:rsidRDefault="003D7AF8" w:rsidP="000C6F9E">
            <w:pPr>
              <w:spacing w:after="0" w:line="240" w:lineRule="auto"/>
              <w:rPr>
                <w:rFonts w:ascii="Verdana" w:eastAsia="Cambria" w:hAnsi="Verdana" w:cs="Times New Roman"/>
                <w:color w:val="000000"/>
                <w:sz w:val="20"/>
                <w:szCs w:val="20"/>
              </w:rPr>
            </w:pPr>
          </w:p>
        </w:tc>
      </w:tr>
    </w:tbl>
    <w:p w14:paraId="5294BFA6" w14:textId="77777777" w:rsidR="003D7AF8" w:rsidRPr="00C253B0" w:rsidRDefault="003D7AF8" w:rsidP="003D7AF8">
      <w:pPr>
        <w:spacing w:line="240" w:lineRule="auto"/>
        <w:rPr>
          <w:rFonts w:ascii="Verdana" w:eastAsia="Cambria" w:hAnsi="Verdana" w:cs="Times New Roman"/>
        </w:rPr>
      </w:pPr>
    </w:p>
    <w:p w14:paraId="2F891CFF" w14:textId="77777777" w:rsidR="003D7AF8" w:rsidRPr="00C253B0" w:rsidRDefault="003D7AF8" w:rsidP="00FD0742">
      <w:pPr>
        <w:spacing w:after="0" w:line="240" w:lineRule="auto"/>
        <w:rPr>
          <w:rFonts w:ascii="Verdana" w:eastAsia="Cambria" w:hAnsi="Verdana" w:cs="Times New Roman"/>
          <w:i/>
          <w:sz w:val="20"/>
          <w:szCs w:val="20"/>
        </w:rPr>
      </w:pPr>
      <w:r>
        <w:rPr>
          <w:rFonts w:ascii="Verdana" w:eastAsia="Cambria" w:hAnsi="Verdana" w:cs="Times New Roman"/>
          <w:i/>
          <w:sz w:val="20"/>
          <w:szCs w:val="20"/>
        </w:rPr>
        <w:t>OPOMBE</w:t>
      </w:r>
      <w:r w:rsidRPr="00C253B0">
        <w:rPr>
          <w:rFonts w:ascii="Verdana" w:eastAsia="Cambria" w:hAnsi="Verdana" w:cs="Times New Roman"/>
          <w:i/>
          <w:sz w:val="20"/>
          <w:szCs w:val="20"/>
        </w:rPr>
        <w:t>:</w:t>
      </w:r>
    </w:p>
    <w:p w14:paraId="3A2A265F" w14:textId="77777777" w:rsidR="003D7AF8" w:rsidRDefault="003D7AF8" w:rsidP="00FD0742">
      <w:pPr>
        <w:spacing w:after="0" w:line="240" w:lineRule="auto"/>
        <w:jc w:val="both"/>
        <w:rPr>
          <w:rFonts w:ascii="Verdana" w:eastAsia="Cambria" w:hAnsi="Verdana" w:cs="Times New Roman"/>
          <w:i/>
          <w:sz w:val="20"/>
          <w:szCs w:val="20"/>
        </w:rPr>
      </w:pPr>
      <w:r w:rsidRPr="00C253B0">
        <w:rPr>
          <w:rFonts w:ascii="Verdana" w:eastAsia="Cambria" w:hAnsi="Verdana" w:cs="Times New Roman"/>
          <w:i/>
          <w:sz w:val="20"/>
          <w:szCs w:val="20"/>
        </w:rPr>
        <w:lastRenderedPageBreak/>
        <w:t>*Upoštevana tudi morebitna akreditacija doktorske šole Univerze na Primorskem in vloga za akreditacijo Fakultete za transportne sisteme in ekonomiko; postopek akreditacije slednje se je neupravičeno podaljšal. Da bi se izognili takim zamudam, so bili konec leta 2018 sprejeti postopkovniki, ki omogočajo pregled nad potekom postopkov in – kar je najpomembnejše – skrajšujejo nerazumno dolgo trajanje nekaterih v preteklosti.</w:t>
      </w:r>
    </w:p>
    <w:p w14:paraId="7E0EEC24" w14:textId="50F66021" w:rsidR="003D7AF8" w:rsidRPr="00C253B0" w:rsidRDefault="003D7AF8" w:rsidP="00FD0742">
      <w:pPr>
        <w:spacing w:after="0" w:line="240" w:lineRule="auto"/>
        <w:jc w:val="both"/>
        <w:rPr>
          <w:rFonts w:ascii="Verdana" w:eastAsia="Cambria" w:hAnsi="Verdana" w:cs="Times New Roman"/>
          <w:i/>
          <w:sz w:val="20"/>
          <w:szCs w:val="20"/>
        </w:rPr>
      </w:pPr>
      <w:r>
        <w:rPr>
          <w:rFonts w:ascii="Verdana" w:eastAsia="Cambria" w:hAnsi="Verdana" w:cs="Times New Roman"/>
          <w:i/>
          <w:sz w:val="20"/>
          <w:szCs w:val="20"/>
        </w:rPr>
        <w:t>**Število se je v primerjavi s podatki v LDN 2018 (</w:t>
      </w:r>
      <w:r w:rsidR="00084638">
        <w:rPr>
          <w:rFonts w:ascii="Verdana" w:eastAsia="Cambria" w:hAnsi="Verdana" w:cs="Times New Roman"/>
          <w:i/>
          <w:sz w:val="20"/>
          <w:szCs w:val="20"/>
        </w:rPr>
        <w:t>7 vlog</w:t>
      </w:r>
      <w:r>
        <w:rPr>
          <w:rFonts w:ascii="Verdana" w:eastAsia="Cambria" w:hAnsi="Verdana" w:cs="Times New Roman"/>
          <w:i/>
          <w:sz w:val="20"/>
          <w:szCs w:val="20"/>
        </w:rPr>
        <w:t xml:space="preserve">) konec leta 2018 povečalo na 16, od tega je bilo odločeno o </w:t>
      </w:r>
      <w:r w:rsidR="00084638">
        <w:rPr>
          <w:rFonts w:ascii="Verdana" w:eastAsia="Cambria" w:hAnsi="Verdana" w:cs="Times New Roman"/>
          <w:i/>
          <w:sz w:val="20"/>
          <w:szCs w:val="20"/>
        </w:rPr>
        <w:t>6</w:t>
      </w:r>
      <w:r>
        <w:rPr>
          <w:rFonts w:ascii="Verdana" w:eastAsia="Cambria" w:hAnsi="Verdana" w:cs="Times New Roman"/>
          <w:i/>
          <w:sz w:val="20"/>
          <w:szCs w:val="20"/>
        </w:rPr>
        <w:t xml:space="preserve"> vlogah. Za … vlog se je število povečalo zaradi zahteve ministrstva, da kljub drugačnim določilom v merilih za akreditacijo akreditiramo tudi vse spremembe lokacije oziroma  prostorov visokošolskih zavodov, tudi če ne gre za dislocirano enoto zavoda ali potrebo po ogledu.</w:t>
      </w:r>
    </w:p>
    <w:p w14:paraId="1D8614EB" w14:textId="77777777" w:rsidR="0022192B" w:rsidRDefault="003D7AF8" w:rsidP="00FD0742">
      <w:pPr>
        <w:spacing w:after="0" w:line="240" w:lineRule="auto"/>
        <w:jc w:val="both"/>
        <w:rPr>
          <w:rFonts w:ascii="Verdana" w:eastAsia="Cambria" w:hAnsi="Verdana" w:cs="Times New Roman"/>
          <w:i/>
          <w:sz w:val="20"/>
          <w:szCs w:val="20"/>
        </w:rPr>
      </w:pPr>
      <w:r w:rsidRPr="00C253B0">
        <w:rPr>
          <w:rFonts w:ascii="Verdana" w:eastAsia="Cambria" w:hAnsi="Verdana" w:cs="Times New Roman"/>
          <w:i/>
          <w:sz w:val="20"/>
          <w:szCs w:val="20"/>
        </w:rPr>
        <w:t>***Zunanje evalvacije šol: nova merila so bila sprejeta marca 2018, elektronski obrazci so začeli delovati septembra, zato se je 12 postopkov, v katerih je treba opraviti še 6 obiskov, podaljšalo v leto 2019.</w:t>
      </w:r>
    </w:p>
    <w:p w14:paraId="3BDD4E51" w14:textId="77777777" w:rsidR="005239BE" w:rsidRDefault="005239BE" w:rsidP="002D500C">
      <w:pPr>
        <w:spacing w:after="0" w:line="240" w:lineRule="auto"/>
        <w:jc w:val="both"/>
        <w:rPr>
          <w:rFonts w:ascii="Verdana" w:eastAsia="Cambria" w:hAnsi="Verdana" w:cs="Times New Roman"/>
          <w:i/>
          <w:sz w:val="20"/>
          <w:szCs w:val="20"/>
        </w:rPr>
      </w:pPr>
    </w:p>
    <w:p w14:paraId="34125630" w14:textId="77777777" w:rsidR="005239BE" w:rsidRPr="002D500C" w:rsidRDefault="005239BE" w:rsidP="002D500C">
      <w:pPr>
        <w:spacing w:after="0" w:line="240" w:lineRule="auto"/>
        <w:jc w:val="both"/>
        <w:rPr>
          <w:rFonts w:ascii="Verdana" w:eastAsia="Cambria" w:hAnsi="Verdana" w:cs="Times New Roman"/>
          <w:i/>
          <w:sz w:val="20"/>
          <w:szCs w:val="20"/>
        </w:rPr>
      </w:pPr>
    </w:p>
    <w:p w14:paraId="3E814455" w14:textId="77777777" w:rsidR="00F904E1" w:rsidRPr="00C0437B" w:rsidRDefault="00C0437B" w:rsidP="00C0437B">
      <w:pPr>
        <w:pStyle w:val="Naslov"/>
        <w:rPr>
          <w:sz w:val="32"/>
        </w:rPr>
      </w:pPr>
      <w:bookmarkStart w:id="17" w:name="_Toc2157287"/>
      <w:r w:rsidRPr="00C0437B">
        <w:rPr>
          <w:sz w:val="32"/>
        </w:rPr>
        <w:t xml:space="preserve">IV </w:t>
      </w:r>
      <w:r w:rsidR="0049495E" w:rsidRPr="00C0437B">
        <w:rPr>
          <w:sz w:val="32"/>
        </w:rPr>
        <w:t>PREDNOSTNE (POMEMBNE) NALOGE</w:t>
      </w:r>
      <w:r w:rsidR="007110E3" w:rsidRPr="00C0437B">
        <w:rPr>
          <w:sz w:val="32"/>
        </w:rPr>
        <w:t xml:space="preserve"> </w:t>
      </w:r>
      <w:r w:rsidR="00F904E1" w:rsidRPr="00C0437B">
        <w:rPr>
          <w:sz w:val="32"/>
        </w:rPr>
        <w:t xml:space="preserve">AGENCIJE </w:t>
      </w:r>
      <w:r w:rsidR="0030640A" w:rsidRPr="00C0437B">
        <w:rPr>
          <w:sz w:val="32"/>
        </w:rPr>
        <w:t>V LETU 2018</w:t>
      </w:r>
      <w:bookmarkEnd w:id="17"/>
      <w:r w:rsidR="00F904E1" w:rsidRPr="00C0437B">
        <w:rPr>
          <w:sz w:val="32"/>
        </w:rPr>
        <w:t xml:space="preserve"> </w:t>
      </w:r>
    </w:p>
    <w:p w14:paraId="00274301" w14:textId="77777777" w:rsidR="00B9562B" w:rsidRDefault="00B9562B" w:rsidP="00B9562B"/>
    <w:p w14:paraId="7D4233D5" w14:textId="77777777" w:rsidR="00B9562B" w:rsidRPr="0049495E" w:rsidRDefault="00B9562B" w:rsidP="0049495E">
      <w:pPr>
        <w:jc w:val="both"/>
        <w:rPr>
          <w:rFonts w:ascii="Verdana" w:hAnsi="Verdana"/>
        </w:rPr>
      </w:pPr>
      <w:r w:rsidRPr="0049495E">
        <w:rPr>
          <w:rFonts w:ascii="Verdana" w:hAnsi="Verdana"/>
        </w:rPr>
        <w:t xml:space="preserve">V poglavju je prikazano delo agencije, ki ga je </w:t>
      </w:r>
      <w:r w:rsidR="0030640A">
        <w:rPr>
          <w:rFonts w:ascii="Verdana" w:hAnsi="Verdana"/>
        </w:rPr>
        <w:t>opravl</w:t>
      </w:r>
      <w:r w:rsidRPr="0049495E">
        <w:rPr>
          <w:rFonts w:ascii="Verdana" w:hAnsi="Verdana"/>
        </w:rPr>
        <w:t xml:space="preserve">jala poleg vodenja akreditacijskih in evalvacijskih postopkov in drugih nalog, potrebnih za delovanje agencije. Gre za prednostne naloge, ki jih </w:t>
      </w:r>
      <w:r w:rsidR="0030640A">
        <w:rPr>
          <w:rFonts w:ascii="Verdana" w:hAnsi="Verdana"/>
        </w:rPr>
        <w:t xml:space="preserve">je </w:t>
      </w:r>
      <w:r w:rsidRPr="0049495E">
        <w:rPr>
          <w:rFonts w:ascii="Verdana" w:hAnsi="Verdana"/>
        </w:rPr>
        <w:t xml:space="preserve">agencija </w:t>
      </w:r>
      <w:r w:rsidR="0030640A">
        <w:rPr>
          <w:rFonts w:ascii="Verdana" w:hAnsi="Verdana"/>
        </w:rPr>
        <w:t xml:space="preserve">načrtovala in </w:t>
      </w:r>
      <w:r w:rsidR="00B31325">
        <w:rPr>
          <w:rFonts w:ascii="Verdana" w:hAnsi="Verdana"/>
        </w:rPr>
        <w:t xml:space="preserve">si jih </w:t>
      </w:r>
      <w:r w:rsidRPr="0049495E">
        <w:rPr>
          <w:rFonts w:ascii="Verdana" w:hAnsi="Verdana"/>
        </w:rPr>
        <w:t>postavi</w:t>
      </w:r>
      <w:r w:rsidR="0030640A">
        <w:rPr>
          <w:rFonts w:ascii="Verdana" w:hAnsi="Verdana"/>
        </w:rPr>
        <w:t>la</w:t>
      </w:r>
      <w:r w:rsidRPr="0049495E">
        <w:rPr>
          <w:rFonts w:ascii="Verdana" w:hAnsi="Verdana"/>
        </w:rPr>
        <w:t xml:space="preserve"> </w:t>
      </w:r>
      <w:r w:rsidR="0030640A">
        <w:rPr>
          <w:rFonts w:ascii="Verdana" w:hAnsi="Verdana"/>
        </w:rPr>
        <w:t>v</w:t>
      </w:r>
      <w:r w:rsidRPr="0049495E">
        <w:rPr>
          <w:rFonts w:ascii="Verdana" w:hAnsi="Verdana"/>
        </w:rPr>
        <w:t xml:space="preserve"> let</w:t>
      </w:r>
      <w:r w:rsidR="0030640A">
        <w:rPr>
          <w:rFonts w:ascii="Verdana" w:hAnsi="Verdana"/>
        </w:rPr>
        <w:t>u 2018</w:t>
      </w:r>
      <w:r w:rsidRPr="0049495E">
        <w:rPr>
          <w:rFonts w:ascii="Verdana" w:hAnsi="Verdana"/>
        </w:rPr>
        <w:t>.</w:t>
      </w:r>
    </w:p>
    <w:p w14:paraId="6FCB749A" w14:textId="77777777" w:rsidR="00632926" w:rsidRDefault="00632926" w:rsidP="00C96D02"/>
    <w:p w14:paraId="6B453AB1" w14:textId="77777777" w:rsidR="00F904E1" w:rsidRDefault="00D577A1" w:rsidP="00A83BF0">
      <w:pPr>
        <w:pStyle w:val="Naslov2"/>
      </w:pPr>
      <w:bookmarkStart w:id="18" w:name="_Toc2157288"/>
      <w:r>
        <w:t>IV.1</w:t>
      </w:r>
      <w:r w:rsidR="00F904E1" w:rsidRPr="00F904E1">
        <w:t xml:space="preserve"> PRED SPREJETJEM LDN 2018</w:t>
      </w:r>
      <w:bookmarkEnd w:id="18"/>
    </w:p>
    <w:p w14:paraId="7158A0EF" w14:textId="77777777" w:rsidR="00F904E1" w:rsidRPr="00FC6848" w:rsidRDefault="00F904E1" w:rsidP="00F904E1">
      <w:pPr>
        <w:rPr>
          <w:rFonts w:ascii="Verdana" w:hAnsi="Verdana"/>
          <w:b/>
        </w:rPr>
      </w:pPr>
      <w:r w:rsidRPr="00FC6848">
        <w:rPr>
          <w:rFonts w:ascii="Verdana" w:hAnsi="Verdana"/>
          <w:b/>
        </w:rPr>
        <w:t>Samoevalvacija agencije</w:t>
      </w:r>
    </w:p>
    <w:p w14:paraId="081DC45D" w14:textId="358AED56" w:rsidR="0022192B" w:rsidRDefault="007019FA" w:rsidP="00FF0B53">
      <w:pPr>
        <w:jc w:val="both"/>
        <w:rPr>
          <w:rFonts w:ascii="Verdana" w:hAnsi="Verdana"/>
          <w:b/>
        </w:rPr>
      </w:pPr>
      <w:r>
        <w:rPr>
          <w:rFonts w:ascii="Verdana" w:hAnsi="Verdana"/>
        </w:rPr>
        <w:t>Samoevalvacija agencije</w:t>
      </w:r>
      <w:r w:rsidR="00B10EEB">
        <w:rPr>
          <w:rFonts w:ascii="Verdana" w:hAnsi="Verdana"/>
        </w:rPr>
        <w:t xml:space="preserve"> je bila zahtevna, obsegala je daljše samoevalvacijsko obdobje kot na primer leta 2015 ali 2014, ko je bila narejena za eno leto. Tokrat je samoevalvacijsko obdobje zajemalo dve leti, 2016 in 2017, v katerih je bilo veliko zakonodajnih sprememb, ki so korenito vplivale na delo in pristojnosti agencije. Prehod na institucionalno reakreditacijo, uvedba vzorčnih evalvacij in večji poudarek izrednim evalvacijam so </w:t>
      </w:r>
      <w:r w:rsidR="00D23740">
        <w:rPr>
          <w:rFonts w:ascii="Verdana" w:hAnsi="Verdana"/>
        </w:rPr>
        <w:t xml:space="preserve">v </w:t>
      </w:r>
      <w:proofErr w:type="spellStart"/>
      <w:r w:rsidR="00D23740">
        <w:rPr>
          <w:rFonts w:ascii="Verdana" w:hAnsi="Verdana"/>
        </w:rPr>
        <w:t>samoevalvacijskem</w:t>
      </w:r>
      <w:proofErr w:type="spellEnd"/>
      <w:r w:rsidR="00D23740">
        <w:rPr>
          <w:rFonts w:ascii="Verdana" w:hAnsi="Verdana"/>
        </w:rPr>
        <w:t xml:space="preserve"> obdobju 2016 in 2017 </w:t>
      </w:r>
      <w:r w:rsidR="00B10EEB">
        <w:rPr>
          <w:rFonts w:ascii="Verdana" w:hAnsi="Verdana"/>
        </w:rPr>
        <w:t xml:space="preserve">narekovali </w:t>
      </w:r>
      <w:r w:rsidR="00D23740">
        <w:rPr>
          <w:rFonts w:ascii="Verdana" w:hAnsi="Verdana"/>
        </w:rPr>
        <w:t xml:space="preserve">premislek o prenovi standardov kakovosti za presojo visokošolskih zavodov, študijskih programov in višjih strokovnih šol, </w:t>
      </w:r>
      <w:r w:rsidR="00B10EEB">
        <w:rPr>
          <w:rFonts w:ascii="Verdana" w:hAnsi="Verdana"/>
        </w:rPr>
        <w:t>spremembo meril za akreditacijo in zunanjo evalvacijo ter drugih predpisov agencije na eni strani, na drugi pa je agencija morala uskladiti merila z leta 2015 prenovljenimi ESG ter se hkrati pripraviti za zunanjo evalvacijo zaradi podaljšanja članstva v ENQA in vpisa v EQAR. Prva dva meseca</w:t>
      </w:r>
      <w:r w:rsidR="002D614E">
        <w:rPr>
          <w:rFonts w:ascii="Verdana" w:hAnsi="Verdana"/>
        </w:rPr>
        <w:t xml:space="preserve"> leta 2018 je nastajalo in se sproti usklajevalo (tudi s člani sveta agencije) obširno samoevalvacijsko poročilo (SEP 2016 in 2017), v katerem so bile poleg stalnega dela agencije prikazane vse pomembne spremembe: od novih meril in drugih predpisov agencije, nastajanja </w:t>
      </w:r>
      <w:r w:rsidR="002D614E">
        <w:rPr>
          <w:rFonts w:ascii="Verdana" w:hAnsi="Verdana"/>
        </w:rPr>
        <w:lastRenderedPageBreak/>
        <w:t xml:space="preserve">novega informacijskega sistema eNakvis do uskladitve novih meril z ESG 2015. </w:t>
      </w:r>
      <w:r w:rsidR="00D23740">
        <w:rPr>
          <w:rFonts w:ascii="Verdana" w:hAnsi="Verdana"/>
        </w:rPr>
        <w:t>Slednja</w:t>
      </w:r>
      <w:r w:rsidR="002D614E">
        <w:rPr>
          <w:rFonts w:ascii="Verdana" w:hAnsi="Verdana"/>
        </w:rPr>
        <w:t xml:space="preserve"> je bila eden od bistvenih pogojev za podaljšanje članstva v ENQA in vpisa v EQAR. </w:t>
      </w:r>
      <w:r w:rsidR="00B10EEB">
        <w:rPr>
          <w:rFonts w:ascii="Verdana" w:hAnsi="Verdana"/>
        </w:rPr>
        <w:t xml:space="preserve"> </w:t>
      </w:r>
    </w:p>
    <w:p w14:paraId="7902E2A6" w14:textId="77777777" w:rsidR="00F904E1" w:rsidRPr="00FC6848" w:rsidRDefault="00F904E1" w:rsidP="00F904E1">
      <w:pPr>
        <w:rPr>
          <w:rFonts w:ascii="Verdana" w:hAnsi="Verdana"/>
          <w:b/>
        </w:rPr>
      </w:pPr>
      <w:r w:rsidRPr="00FC6848">
        <w:rPr>
          <w:rFonts w:ascii="Verdana" w:hAnsi="Verdana"/>
          <w:b/>
        </w:rPr>
        <w:t>Priprav</w:t>
      </w:r>
      <w:r w:rsidR="00872D64">
        <w:rPr>
          <w:rFonts w:ascii="Verdana" w:hAnsi="Verdana"/>
          <w:b/>
        </w:rPr>
        <w:t>e</w:t>
      </w:r>
      <w:r w:rsidRPr="00FC6848">
        <w:rPr>
          <w:rFonts w:ascii="Verdana" w:hAnsi="Verdana"/>
          <w:b/>
        </w:rPr>
        <w:t xml:space="preserve"> na obisk </w:t>
      </w:r>
      <w:r w:rsidR="00872D64">
        <w:rPr>
          <w:rFonts w:ascii="Verdana" w:hAnsi="Verdana"/>
          <w:b/>
        </w:rPr>
        <w:t xml:space="preserve">mednarodnih </w:t>
      </w:r>
      <w:r w:rsidRPr="00FC6848">
        <w:rPr>
          <w:rFonts w:ascii="Verdana" w:hAnsi="Verdana"/>
          <w:b/>
        </w:rPr>
        <w:t>strokovnjakov ENQA</w:t>
      </w:r>
      <w:r w:rsidR="0051198C">
        <w:rPr>
          <w:rFonts w:ascii="Verdana" w:hAnsi="Verdana"/>
          <w:b/>
        </w:rPr>
        <w:t>,</w:t>
      </w:r>
      <w:r w:rsidR="00493ED4">
        <w:rPr>
          <w:rFonts w:ascii="Verdana" w:hAnsi="Verdana"/>
          <w:b/>
        </w:rPr>
        <w:t xml:space="preserve"> obisk</w:t>
      </w:r>
      <w:r w:rsidR="006D7A71">
        <w:rPr>
          <w:rFonts w:ascii="Verdana" w:hAnsi="Verdana"/>
          <w:b/>
        </w:rPr>
        <w:t>,</w:t>
      </w:r>
      <w:r w:rsidR="0051198C">
        <w:rPr>
          <w:rFonts w:ascii="Verdana" w:hAnsi="Verdana"/>
          <w:b/>
        </w:rPr>
        <w:t xml:space="preserve"> ugotovitve</w:t>
      </w:r>
      <w:r w:rsidR="00257DC4">
        <w:rPr>
          <w:rFonts w:ascii="Verdana" w:hAnsi="Verdana"/>
          <w:b/>
        </w:rPr>
        <w:t xml:space="preserve"> strokovnjakov in pojasnila agencije</w:t>
      </w:r>
    </w:p>
    <w:p w14:paraId="7EBDE35A" w14:textId="77777777" w:rsidR="00E82A26" w:rsidRDefault="002D614E" w:rsidP="00493ED4">
      <w:pPr>
        <w:jc w:val="both"/>
        <w:rPr>
          <w:rFonts w:ascii="Verdana" w:hAnsi="Verdana"/>
        </w:rPr>
      </w:pPr>
      <w:r>
        <w:rPr>
          <w:rFonts w:ascii="Verdana" w:hAnsi="Verdana"/>
        </w:rPr>
        <w:t xml:space="preserve">Tudi priprave na obisk </w:t>
      </w:r>
      <w:r w:rsidR="00872D64">
        <w:rPr>
          <w:rFonts w:ascii="Verdana" w:hAnsi="Verdana"/>
        </w:rPr>
        <w:t xml:space="preserve">mednarodnih </w:t>
      </w:r>
      <w:r>
        <w:rPr>
          <w:rFonts w:ascii="Verdana" w:hAnsi="Verdana"/>
        </w:rPr>
        <w:t>strokovnjakov</w:t>
      </w:r>
      <w:r w:rsidR="00872D64">
        <w:rPr>
          <w:rFonts w:ascii="Verdana" w:hAnsi="Verdana"/>
        </w:rPr>
        <w:t xml:space="preserve"> ENQA so bile v prvih mesecih leta 2018 zelo intenzivne. Treba je bilo uskladiti datume </w:t>
      </w:r>
      <w:r w:rsidR="004A4F7D">
        <w:rPr>
          <w:rFonts w:ascii="Verdana" w:hAnsi="Verdana"/>
        </w:rPr>
        <w:t xml:space="preserve">večdnevnega </w:t>
      </w:r>
      <w:r w:rsidR="00872D64">
        <w:rPr>
          <w:rFonts w:ascii="Verdana" w:hAnsi="Verdana"/>
        </w:rPr>
        <w:t xml:space="preserve">obiska skupine strokovnjakov, urnik obiska, zagotoviti najrazličnejše skupine udeležencev </w:t>
      </w:r>
      <w:r w:rsidR="00ED3417">
        <w:rPr>
          <w:rFonts w:ascii="Verdana" w:hAnsi="Verdana"/>
        </w:rPr>
        <w:t>pri</w:t>
      </w:r>
      <w:r w:rsidR="00872D64">
        <w:rPr>
          <w:rFonts w:ascii="Verdana" w:hAnsi="Verdana"/>
        </w:rPr>
        <w:t xml:space="preserve"> intervjujih, in sicer predstavnike univerz, samostojnih visokošolskih zavodov, višjih strokovnih šol, ministrstva,  pristojnega za visoko šolstvo, študentske organizacije in delodajalcev na eni strani ter poleg </w:t>
      </w:r>
      <w:r w:rsidR="004A4F7D">
        <w:rPr>
          <w:rFonts w:ascii="Verdana" w:hAnsi="Verdana"/>
        </w:rPr>
        <w:t xml:space="preserve">starega in novega </w:t>
      </w:r>
      <w:r w:rsidR="00872D64">
        <w:rPr>
          <w:rFonts w:ascii="Verdana" w:hAnsi="Verdana"/>
        </w:rPr>
        <w:t xml:space="preserve">vodstva </w:t>
      </w:r>
      <w:r w:rsidR="004A4F7D">
        <w:rPr>
          <w:rFonts w:ascii="Verdana" w:hAnsi="Verdana"/>
        </w:rPr>
        <w:t>ter</w:t>
      </w:r>
      <w:r w:rsidR="00872D64">
        <w:rPr>
          <w:rFonts w:ascii="Verdana" w:hAnsi="Verdana"/>
        </w:rPr>
        <w:t xml:space="preserve"> delavcev agencije še predstavnike strokovnjakov agencije, sveta agencije in pritožbene komisije. Usklajevanje tako obsežnega dogodka je bilo naporno in dolgotrajno, treba pa je bilo zagotoviti tudi prenočišča, prevoz in prehrano predvsem za mednarodne strokovnjake.</w:t>
      </w:r>
    </w:p>
    <w:p w14:paraId="55C7E702" w14:textId="675227C5" w:rsidR="00493ED4" w:rsidRDefault="00872D64" w:rsidP="00493ED4">
      <w:pPr>
        <w:jc w:val="both"/>
        <w:rPr>
          <w:rFonts w:ascii="Verdana" w:hAnsi="Verdana"/>
        </w:rPr>
      </w:pPr>
      <w:r>
        <w:rPr>
          <w:rFonts w:ascii="Verdana" w:hAnsi="Verdana"/>
        </w:rPr>
        <w:t xml:space="preserve">Drugi del priprav na obisk mednarodnih strokovnjakov ENQA je vseboval </w:t>
      </w:r>
      <w:r w:rsidR="004A4F7D">
        <w:rPr>
          <w:rFonts w:ascii="Verdana" w:hAnsi="Verdana"/>
        </w:rPr>
        <w:t xml:space="preserve">izdelavo </w:t>
      </w:r>
      <w:r>
        <w:rPr>
          <w:rFonts w:ascii="Verdana" w:hAnsi="Verdana"/>
        </w:rPr>
        <w:t>različn</w:t>
      </w:r>
      <w:r w:rsidR="004A4F7D">
        <w:rPr>
          <w:rFonts w:ascii="Verdana" w:hAnsi="Verdana"/>
        </w:rPr>
        <w:t>ih</w:t>
      </w:r>
      <w:r>
        <w:rPr>
          <w:rFonts w:ascii="Verdana" w:hAnsi="Verdana"/>
        </w:rPr>
        <w:t xml:space="preserve"> dokument</w:t>
      </w:r>
      <w:r w:rsidR="004A4F7D">
        <w:rPr>
          <w:rFonts w:ascii="Verdana" w:hAnsi="Verdana"/>
        </w:rPr>
        <w:t>ov,</w:t>
      </w:r>
      <w:r w:rsidR="00493ED4">
        <w:rPr>
          <w:rFonts w:ascii="Verdana" w:hAnsi="Verdana"/>
        </w:rPr>
        <w:t xml:space="preserve"> njihove prevode </w:t>
      </w:r>
      <w:r w:rsidR="004A4F7D">
        <w:rPr>
          <w:rFonts w:ascii="Verdana" w:hAnsi="Verdana"/>
        </w:rPr>
        <w:t xml:space="preserve">in prevode drugih </w:t>
      </w:r>
      <w:r w:rsidR="00493ED4">
        <w:rPr>
          <w:rFonts w:ascii="Verdana" w:hAnsi="Verdana"/>
        </w:rPr>
        <w:t xml:space="preserve">v angleščino. Prvi in najpomembnejši dokument je bil SEP za 2016 in 2017, nato prevodi vseh novih meril agencije in drugih predpisov, zapisnikov </w:t>
      </w:r>
      <w:r w:rsidR="005B4C66">
        <w:rPr>
          <w:rFonts w:ascii="Verdana" w:hAnsi="Verdana"/>
        </w:rPr>
        <w:t xml:space="preserve">sej </w:t>
      </w:r>
      <w:r w:rsidR="00493ED4">
        <w:rPr>
          <w:rFonts w:ascii="Verdana" w:hAnsi="Verdana"/>
        </w:rPr>
        <w:t xml:space="preserve">sveta agencije, poslovnika kakovosti, poročil o poslovanju agencije… Aprila 2018 je morala agencija SEP 2016 in 2017 prilagoditi še zahtevam sekretariata ENQA tako, da ga je sestavila po njihovih pravilih. </w:t>
      </w:r>
    </w:p>
    <w:p w14:paraId="70F6268B" w14:textId="77777777" w:rsidR="00493ED4" w:rsidRPr="00ED3417" w:rsidRDefault="00493ED4" w:rsidP="00493ED4">
      <w:pPr>
        <w:jc w:val="both"/>
        <w:rPr>
          <w:rFonts w:ascii="Verdana" w:hAnsi="Verdana"/>
        </w:rPr>
      </w:pPr>
      <w:r>
        <w:rPr>
          <w:rFonts w:ascii="Verdana" w:hAnsi="Verdana"/>
        </w:rPr>
        <w:t xml:space="preserve">Komisija mednarodnih strokovnjakov ENQA je agencijo obiskala </w:t>
      </w:r>
      <w:r w:rsidR="00AC2132">
        <w:rPr>
          <w:rFonts w:ascii="Verdana" w:hAnsi="Verdana"/>
        </w:rPr>
        <w:t>10. junija 2018, obisk je trajal štiri dni, do 13. junija. V tem času je temeljito preverjala delovanje agencije</w:t>
      </w:r>
      <w:r w:rsidR="00EC148C">
        <w:rPr>
          <w:rFonts w:ascii="Verdana" w:hAnsi="Verdana"/>
        </w:rPr>
        <w:t xml:space="preserve"> v skladu z ESG 15, tudi </w:t>
      </w:r>
      <w:r w:rsidR="006538D8">
        <w:rPr>
          <w:rFonts w:ascii="Verdana" w:hAnsi="Verdana"/>
        </w:rPr>
        <w:t>s pridobivanjem mnenj različnih</w:t>
      </w:r>
      <w:r w:rsidR="00EC148C">
        <w:rPr>
          <w:rFonts w:ascii="Verdana" w:hAnsi="Verdana"/>
        </w:rPr>
        <w:t xml:space="preserve"> notranjih in zunanjih deležnikov agencije</w:t>
      </w:r>
      <w:r w:rsidR="006538D8">
        <w:rPr>
          <w:rFonts w:ascii="Verdana" w:hAnsi="Verdana"/>
        </w:rPr>
        <w:t xml:space="preserve"> na posebnih intervjujih z njimi</w:t>
      </w:r>
      <w:r w:rsidR="00EC148C">
        <w:rPr>
          <w:rFonts w:ascii="Verdana" w:hAnsi="Verdana"/>
        </w:rPr>
        <w:t>.</w:t>
      </w:r>
      <w:r w:rsidR="004A4F7D">
        <w:rPr>
          <w:rFonts w:ascii="Verdana" w:hAnsi="Verdana"/>
        </w:rPr>
        <w:t xml:space="preserve"> Posamezni dnevi </w:t>
      </w:r>
      <w:r w:rsidR="004A4F7D" w:rsidRPr="00ED3417">
        <w:rPr>
          <w:rFonts w:ascii="Verdana" w:hAnsi="Verdana"/>
        </w:rPr>
        <w:t>obiska so trajali ves dan, določene skupine strokovnih delavcev agencije in vodstvo je na vprašanja skupine strokovnjakov moralo odgovarjati večkrat.</w:t>
      </w:r>
    </w:p>
    <w:p w14:paraId="2E319523" w14:textId="6912AE79" w:rsidR="009142BB" w:rsidRPr="00D0682D" w:rsidRDefault="00AE3A44" w:rsidP="00ED3417">
      <w:pPr>
        <w:pStyle w:val="Default"/>
        <w:jc w:val="both"/>
        <w:rPr>
          <w:rFonts w:ascii="Verdana" w:hAnsi="Verdana"/>
          <w:sz w:val="22"/>
          <w:szCs w:val="22"/>
        </w:rPr>
      </w:pPr>
      <w:r>
        <w:rPr>
          <w:rFonts w:ascii="Verdana" w:hAnsi="Verdana"/>
          <w:sz w:val="22"/>
          <w:szCs w:val="22"/>
        </w:rPr>
        <w:t>Julija</w:t>
      </w:r>
      <w:r w:rsidR="009142BB" w:rsidRPr="00ED3417">
        <w:rPr>
          <w:rFonts w:ascii="Verdana" w:hAnsi="Verdana"/>
          <w:sz w:val="22"/>
          <w:szCs w:val="22"/>
        </w:rPr>
        <w:t xml:space="preserve"> 2018 je agencija prejela prvo poročilo skupine strokovnjakov</w:t>
      </w:r>
      <w:r w:rsidR="00ED3417">
        <w:rPr>
          <w:rFonts w:ascii="Verdana" w:hAnsi="Verdana"/>
          <w:sz w:val="22"/>
          <w:szCs w:val="22"/>
        </w:rPr>
        <w:t xml:space="preserve"> ENQA</w:t>
      </w:r>
      <w:r w:rsidR="00602DCC">
        <w:rPr>
          <w:rFonts w:ascii="Verdana" w:hAnsi="Verdana"/>
          <w:sz w:val="22"/>
          <w:szCs w:val="22"/>
        </w:rPr>
        <w:t>, v katerem</w:t>
      </w:r>
      <w:r w:rsidR="00777444">
        <w:rPr>
          <w:rFonts w:ascii="Verdana" w:hAnsi="Verdana"/>
          <w:sz w:val="22"/>
          <w:szCs w:val="22"/>
        </w:rPr>
        <w:t xml:space="preserve"> je</w:t>
      </w:r>
      <w:r w:rsidR="00602DCC">
        <w:rPr>
          <w:rFonts w:ascii="Verdana" w:hAnsi="Verdana"/>
          <w:sz w:val="22"/>
          <w:szCs w:val="22"/>
        </w:rPr>
        <w:t xml:space="preserve"> ta ugot</w:t>
      </w:r>
      <w:r w:rsidR="00777444">
        <w:rPr>
          <w:rFonts w:ascii="Verdana" w:hAnsi="Verdana"/>
          <w:sz w:val="22"/>
          <w:szCs w:val="22"/>
        </w:rPr>
        <w:t>ovila</w:t>
      </w:r>
      <w:r w:rsidR="00602DCC">
        <w:rPr>
          <w:rFonts w:ascii="Verdana" w:hAnsi="Verdana"/>
          <w:sz w:val="22"/>
          <w:szCs w:val="22"/>
        </w:rPr>
        <w:t>, da je agencija od zadnje zunanje evalvacije naredila velik napredek in da večinoma v celoti ali bistveno izpolnjuje ESG</w:t>
      </w:r>
      <w:r w:rsidR="009142BB" w:rsidRPr="00ED3417">
        <w:rPr>
          <w:rFonts w:ascii="Verdana" w:hAnsi="Verdana"/>
          <w:sz w:val="22"/>
          <w:szCs w:val="22"/>
        </w:rPr>
        <w:t xml:space="preserve">. </w:t>
      </w:r>
      <w:r w:rsidR="00777444">
        <w:rPr>
          <w:rFonts w:ascii="Verdana" w:hAnsi="Verdana"/>
          <w:sz w:val="22"/>
          <w:szCs w:val="22"/>
        </w:rPr>
        <w:t>Agencija je po</w:t>
      </w:r>
      <w:r w:rsidR="009142BB" w:rsidRPr="00ED3417">
        <w:rPr>
          <w:rFonts w:ascii="Verdana" w:hAnsi="Verdana"/>
          <w:sz w:val="22"/>
          <w:szCs w:val="22"/>
        </w:rPr>
        <w:t xml:space="preserve"> temeljitem pregledu </w:t>
      </w:r>
      <w:r w:rsidR="00777444">
        <w:rPr>
          <w:rFonts w:ascii="Verdana" w:hAnsi="Verdana"/>
          <w:sz w:val="22"/>
          <w:szCs w:val="22"/>
        </w:rPr>
        <w:t>poročila</w:t>
      </w:r>
      <w:r w:rsidR="009142BB" w:rsidRPr="00ED3417">
        <w:rPr>
          <w:rFonts w:ascii="Verdana" w:hAnsi="Verdana"/>
          <w:sz w:val="22"/>
          <w:szCs w:val="22"/>
        </w:rPr>
        <w:t xml:space="preserve"> ugotovila, da </w:t>
      </w:r>
      <w:r w:rsidR="00200B13" w:rsidRPr="00ED3417">
        <w:rPr>
          <w:rFonts w:ascii="Verdana" w:hAnsi="Verdana"/>
          <w:sz w:val="22"/>
          <w:szCs w:val="22"/>
        </w:rPr>
        <w:t xml:space="preserve">je skupina </w:t>
      </w:r>
      <w:r w:rsidR="0042325F" w:rsidRPr="00ED3417">
        <w:rPr>
          <w:rFonts w:ascii="Verdana" w:hAnsi="Verdana"/>
          <w:sz w:val="22"/>
          <w:szCs w:val="22"/>
        </w:rPr>
        <w:t xml:space="preserve">večinoma </w:t>
      </w:r>
      <w:r w:rsidR="00777444">
        <w:rPr>
          <w:rFonts w:ascii="Verdana" w:hAnsi="Verdana"/>
          <w:sz w:val="22"/>
          <w:szCs w:val="22"/>
        </w:rPr>
        <w:t>naštela</w:t>
      </w:r>
      <w:r w:rsidR="00200B13" w:rsidRPr="00ED3417">
        <w:rPr>
          <w:rFonts w:ascii="Verdana" w:hAnsi="Verdana"/>
          <w:sz w:val="22"/>
          <w:szCs w:val="22"/>
        </w:rPr>
        <w:t xml:space="preserve"> podobne priložnosti za izboljšanje dela</w:t>
      </w:r>
      <w:r w:rsidR="00777444">
        <w:rPr>
          <w:rFonts w:ascii="Verdana" w:hAnsi="Verdana"/>
          <w:sz w:val="22"/>
          <w:szCs w:val="22"/>
        </w:rPr>
        <w:t>,</w:t>
      </w:r>
      <w:r w:rsidR="00200B13" w:rsidRPr="00ED3417">
        <w:rPr>
          <w:rFonts w:ascii="Verdana" w:hAnsi="Verdana"/>
          <w:sz w:val="22"/>
          <w:szCs w:val="22"/>
        </w:rPr>
        <w:t xml:space="preserve"> kot jih je sama </w:t>
      </w:r>
      <w:r w:rsidR="0042325F" w:rsidRPr="00ED3417">
        <w:rPr>
          <w:rFonts w:ascii="Verdana" w:hAnsi="Verdana"/>
          <w:sz w:val="22"/>
          <w:szCs w:val="22"/>
        </w:rPr>
        <w:t>v postopku</w:t>
      </w:r>
      <w:r w:rsidR="00200B13" w:rsidRPr="00ED3417">
        <w:rPr>
          <w:rFonts w:ascii="Verdana" w:hAnsi="Verdana"/>
          <w:sz w:val="22"/>
          <w:szCs w:val="22"/>
        </w:rPr>
        <w:t xml:space="preserve"> samoevalvacij</w:t>
      </w:r>
      <w:r w:rsidR="0042325F" w:rsidRPr="00ED3417">
        <w:rPr>
          <w:rFonts w:ascii="Verdana" w:hAnsi="Verdana"/>
          <w:sz w:val="22"/>
          <w:szCs w:val="22"/>
        </w:rPr>
        <w:t xml:space="preserve">e, za kar se </w:t>
      </w:r>
      <w:r w:rsidR="0042325F" w:rsidRPr="00D0682D">
        <w:rPr>
          <w:rFonts w:ascii="Verdana" w:hAnsi="Verdana"/>
          <w:sz w:val="22"/>
          <w:szCs w:val="22"/>
        </w:rPr>
        <w:t xml:space="preserve">ji je zahvalila in pojasnila, da je nekatere naloge za izboljšanje dela že naredila oziroma jih je vnesla v akcijski načrt za LDN 2018 in jih že začela uresničevati. Take so bile: </w:t>
      </w:r>
      <w:r w:rsidR="00ED3417" w:rsidRPr="00D0682D">
        <w:rPr>
          <w:rFonts w:ascii="Verdana" w:hAnsi="Verdana"/>
          <w:sz w:val="22"/>
          <w:szCs w:val="22"/>
        </w:rPr>
        <w:t>p</w:t>
      </w:r>
      <w:r w:rsidR="009142BB" w:rsidRPr="00D0682D">
        <w:rPr>
          <w:rFonts w:ascii="Verdana" w:eastAsia="Cambria" w:hAnsi="Verdana" w:cs="Times New Roman"/>
          <w:color w:val="auto"/>
          <w:sz w:val="22"/>
          <w:szCs w:val="22"/>
          <w:lang w:eastAsia="en-US"/>
        </w:rPr>
        <w:t xml:space="preserve">ostopkovnik o akreditacijah (shema o prvi akreditaciji visokošolskega zavoda je </w:t>
      </w:r>
      <w:r w:rsidR="00ED3417" w:rsidRPr="00D0682D">
        <w:rPr>
          <w:rFonts w:ascii="Verdana" w:eastAsia="Cambria" w:hAnsi="Verdana" w:cs="Times New Roman"/>
          <w:color w:val="auto"/>
          <w:sz w:val="22"/>
          <w:szCs w:val="22"/>
          <w:lang w:eastAsia="en-US"/>
        </w:rPr>
        <w:t xml:space="preserve">bila </w:t>
      </w:r>
      <w:r w:rsidR="009142BB" w:rsidRPr="00D0682D">
        <w:rPr>
          <w:rFonts w:ascii="Verdana" w:eastAsia="Cambria" w:hAnsi="Verdana" w:cs="Times New Roman"/>
          <w:color w:val="auto"/>
          <w:sz w:val="22"/>
          <w:szCs w:val="22"/>
          <w:lang w:eastAsia="en-US"/>
        </w:rPr>
        <w:t>že dostopna na spletni strani agencije</w:t>
      </w:r>
      <w:r w:rsidR="00ED3417" w:rsidRPr="00D0682D">
        <w:rPr>
          <w:rFonts w:ascii="Verdana" w:eastAsia="Cambria" w:hAnsi="Verdana" w:cs="Times New Roman"/>
          <w:color w:val="auto"/>
          <w:sz w:val="22"/>
          <w:szCs w:val="22"/>
          <w:lang w:eastAsia="en-US"/>
        </w:rPr>
        <w:t>)</w:t>
      </w:r>
      <w:r w:rsidR="009142BB" w:rsidRPr="00D0682D">
        <w:rPr>
          <w:rFonts w:ascii="Verdana" w:eastAsia="Cambria" w:hAnsi="Verdana" w:cs="Times New Roman"/>
          <w:color w:val="auto"/>
          <w:sz w:val="22"/>
          <w:szCs w:val="22"/>
          <w:lang w:eastAsia="en-US"/>
        </w:rPr>
        <w:t>,</w:t>
      </w:r>
      <w:r w:rsidR="00ED3417" w:rsidRPr="00D0682D">
        <w:rPr>
          <w:rFonts w:ascii="Verdana" w:eastAsia="Cambria" w:hAnsi="Verdana" w:cs="Times New Roman"/>
          <w:color w:val="auto"/>
          <w:sz w:val="22"/>
          <w:szCs w:val="22"/>
          <w:lang w:eastAsia="en-US"/>
        </w:rPr>
        <w:t xml:space="preserve"> m</w:t>
      </w:r>
      <w:r w:rsidR="009142BB" w:rsidRPr="00D0682D">
        <w:rPr>
          <w:rFonts w:ascii="Verdana" w:hAnsi="Verdana"/>
          <w:sz w:val="22"/>
          <w:szCs w:val="22"/>
        </w:rPr>
        <w:t>etodologij</w:t>
      </w:r>
      <w:r w:rsidR="00ED3417" w:rsidRPr="00D0682D">
        <w:rPr>
          <w:rFonts w:ascii="Verdana" w:hAnsi="Verdana"/>
          <w:sz w:val="22"/>
          <w:szCs w:val="22"/>
        </w:rPr>
        <w:t>a</w:t>
      </w:r>
      <w:r w:rsidR="009142BB" w:rsidRPr="00D0682D">
        <w:rPr>
          <w:rFonts w:ascii="Verdana" w:hAnsi="Verdana"/>
          <w:sz w:val="22"/>
          <w:szCs w:val="22"/>
        </w:rPr>
        <w:t xml:space="preserve"> in postopek za pripravo in </w:t>
      </w:r>
      <w:proofErr w:type="spellStart"/>
      <w:r w:rsidR="009142BB" w:rsidRPr="00D0682D">
        <w:rPr>
          <w:rFonts w:ascii="Verdana" w:hAnsi="Verdana"/>
          <w:sz w:val="22"/>
          <w:szCs w:val="22"/>
        </w:rPr>
        <w:t>diseminacijo</w:t>
      </w:r>
      <w:proofErr w:type="spellEnd"/>
      <w:r w:rsidR="009142BB" w:rsidRPr="00D0682D">
        <w:rPr>
          <w:rFonts w:ascii="Verdana" w:hAnsi="Verdana"/>
          <w:sz w:val="22"/>
          <w:szCs w:val="22"/>
        </w:rPr>
        <w:t xml:space="preserve"> sistemskih ter tematskih analiz, </w:t>
      </w:r>
      <w:r w:rsidR="00ED3417" w:rsidRPr="00D0682D">
        <w:rPr>
          <w:rFonts w:ascii="Verdana" w:hAnsi="Verdana"/>
          <w:sz w:val="22"/>
          <w:szCs w:val="22"/>
        </w:rPr>
        <w:t>n</w:t>
      </w:r>
      <w:r w:rsidR="009142BB" w:rsidRPr="00D0682D">
        <w:rPr>
          <w:rFonts w:ascii="Verdana" w:eastAsia="Cambria" w:hAnsi="Verdana" w:cs="Times New Roman"/>
          <w:color w:val="auto"/>
          <w:sz w:val="22"/>
          <w:szCs w:val="22"/>
          <w:lang w:eastAsia="en-US"/>
        </w:rPr>
        <w:t>ačrt razvoja kadrov</w:t>
      </w:r>
      <w:r w:rsidR="00ED3417" w:rsidRPr="00D0682D">
        <w:rPr>
          <w:rFonts w:ascii="Verdana" w:eastAsia="Cambria" w:hAnsi="Verdana" w:cs="Times New Roman"/>
          <w:color w:val="auto"/>
          <w:sz w:val="22"/>
          <w:szCs w:val="22"/>
          <w:lang w:eastAsia="en-US"/>
        </w:rPr>
        <w:t>, k</w:t>
      </w:r>
      <w:r w:rsidR="009142BB" w:rsidRPr="00D0682D">
        <w:rPr>
          <w:rFonts w:ascii="Verdana" w:eastAsia="Cambria" w:hAnsi="Verdana" w:cs="Times New Roman"/>
          <w:color w:val="auto"/>
          <w:sz w:val="22"/>
          <w:szCs w:val="22"/>
          <w:lang w:eastAsia="en-US"/>
        </w:rPr>
        <w:t>omunikacijski načrt, dopolnit</w:t>
      </w:r>
      <w:r w:rsidR="00ED3417" w:rsidRPr="00D0682D">
        <w:rPr>
          <w:rFonts w:ascii="Verdana" w:eastAsia="Cambria" w:hAnsi="Verdana" w:cs="Times New Roman"/>
          <w:color w:val="auto"/>
          <w:sz w:val="22"/>
          <w:szCs w:val="22"/>
          <w:lang w:eastAsia="en-US"/>
        </w:rPr>
        <w:t>e</w:t>
      </w:r>
      <w:r w:rsidR="009142BB" w:rsidRPr="00D0682D">
        <w:rPr>
          <w:rFonts w:ascii="Verdana" w:eastAsia="Cambria" w:hAnsi="Verdana" w:cs="Times New Roman"/>
          <w:color w:val="auto"/>
          <w:sz w:val="22"/>
          <w:szCs w:val="22"/>
          <w:lang w:eastAsia="en-US"/>
        </w:rPr>
        <w:t xml:space="preserve">v pogostih vprašanj </w:t>
      </w:r>
      <w:r w:rsidR="00ED3417" w:rsidRPr="00D0682D">
        <w:rPr>
          <w:rFonts w:ascii="Verdana" w:eastAsia="Cambria" w:hAnsi="Verdana" w:cs="Times New Roman"/>
          <w:color w:val="auto"/>
          <w:sz w:val="22"/>
          <w:szCs w:val="22"/>
          <w:lang w:eastAsia="en-US"/>
        </w:rPr>
        <w:t xml:space="preserve">deležnikov </w:t>
      </w:r>
      <w:r w:rsidR="009142BB" w:rsidRPr="00D0682D">
        <w:rPr>
          <w:rFonts w:ascii="Verdana" w:eastAsia="Cambria" w:hAnsi="Verdana" w:cs="Times New Roman"/>
          <w:color w:val="auto"/>
          <w:sz w:val="22"/>
          <w:szCs w:val="22"/>
          <w:lang w:eastAsia="en-US"/>
        </w:rPr>
        <w:t xml:space="preserve">in odgovorov </w:t>
      </w:r>
      <w:r w:rsidR="00ED3417" w:rsidRPr="00D0682D">
        <w:rPr>
          <w:rFonts w:ascii="Verdana" w:eastAsia="Cambria" w:hAnsi="Verdana" w:cs="Times New Roman"/>
          <w:color w:val="auto"/>
          <w:sz w:val="22"/>
          <w:szCs w:val="22"/>
          <w:lang w:eastAsia="en-US"/>
        </w:rPr>
        <w:t>nanje na spletni strani agencije ter</w:t>
      </w:r>
      <w:r w:rsidR="009142BB" w:rsidRPr="00D0682D">
        <w:rPr>
          <w:rFonts w:ascii="Verdana" w:eastAsia="Cambria" w:hAnsi="Verdana" w:cs="Times New Roman"/>
          <w:color w:val="auto"/>
          <w:sz w:val="22"/>
          <w:szCs w:val="22"/>
          <w:lang w:eastAsia="en-US"/>
        </w:rPr>
        <w:t xml:space="preserve"> </w:t>
      </w:r>
      <w:r w:rsidR="00ED3417" w:rsidRPr="00D0682D">
        <w:rPr>
          <w:rFonts w:ascii="Verdana" w:eastAsia="Cambria" w:hAnsi="Verdana" w:cs="Times New Roman"/>
          <w:color w:val="auto"/>
          <w:sz w:val="22"/>
          <w:szCs w:val="22"/>
          <w:lang w:eastAsia="en-US"/>
        </w:rPr>
        <w:t>p</w:t>
      </w:r>
      <w:r w:rsidR="009142BB" w:rsidRPr="00D0682D">
        <w:rPr>
          <w:rFonts w:ascii="Verdana" w:eastAsia="Cambria" w:hAnsi="Verdana" w:cs="Times New Roman"/>
          <w:color w:val="auto"/>
          <w:sz w:val="22"/>
          <w:szCs w:val="22"/>
          <w:lang w:eastAsia="en-US"/>
        </w:rPr>
        <w:t xml:space="preserve">rikaz </w:t>
      </w:r>
      <w:r w:rsidR="00ED3417" w:rsidRPr="00D0682D">
        <w:rPr>
          <w:rFonts w:ascii="Verdana" w:eastAsia="Cambria" w:hAnsi="Verdana" w:cs="Times New Roman"/>
          <w:color w:val="auto"/>
          <w:sz w:val="22"/>
          <w:szCs w:val="22"/>
          <w:lang w:eastAsia="en-US"/>
        </w:rPr>
        <w:t>porabe</w:t>
      </w:r>
      <w:r w:rsidR="009142BB" w:rsidRPr="00D0682D">
        <w:rPr>
          <w:rFonts w:ascii="Verdana" w:eastAsia="Cambria" w:hAnsi="Verdana" w:cs="Times New Roman"/>
          <w:color w:val="auto"/>
          <w:sz w:val="22"/>
          <w:szCs w:val="22"/>
          <w:lang w:eastAsia="en-US"/>
        </w:rPr>
        <w:t xml:space="preserve"> sredstev</w:t>
      </w:r>
      <w:r w:rsidR="00ED3417" w:rsidRPr="00D0682D">
        <w:rPr>
          <w:rFonts w:ascii="Verdana" w:eastAsia="Cambria" w:hAnsi="Verdana" w:cs="Times New Roman"/>
          <w:color w:val="auto"/>
          <w:sz w:val="22"/>
          <w:szCs w:val="22"/>
          <w:lang w:eastAsia="en-US"/>
        </w:rPr>
        <w:t xml:space="preserve"> za delo agencije</w:t>
      </w:r>
      <w:r w:rsidR="009142BB" w:rsidRPr="00D0682D">
        <w:rPr>
          <w:rFonts w:ascii="Verdana" w:eastAsia="Cambria" w:hAnsi="Verdana" w:cs="Times New Roman"/>
          <w:color w:val="auto"/>
          <w:sz w:val="22"/>
          <w:szCs w:val="22"/>
          <w:lang w:eastAsia="en-US"/>
        </w:rPr>
        <w:t xml:space="preserve">, s katerim </w:t>
      </w:r>
      <w:r w:rsidR="00ED3417" w:rsidRPr="00D0682D">
        <w:rPr>
          <w:rFonts w:ascii="Verdana" w:eastAsia="Cambria" w:hAnsi="Verdana" w:cs="Times New Roman"/>
          <w:color w:val="auto"/>
          <w:sz w:val="22"/>
          <w:szCs w:val="22"/>
          <w:lang w:eastAsia="en-US"/>
        </w:rPr>
        <w:t xml:space="preserve">je bila </w:t>
      </w:r>
      <w:r w:rsidR="009142BB" w:rsidRPr="00D0682D">
        <w:rPr>
          <w:rFonts w:ascii="Verdana" w:eastAsia="Cambria" w:hAnsi="Verdana" w:cs="Times New Roman"/>
          <w:color w:val="auto"/>
          <w:sz w:val="22"/>
          <w:szCs w:val="22"/>
          <w:lang w:eastAsia="en-US"/>
        </w:rPr>
        <w:t>predstavlj</w:t>
      </w:r>
      <w:r w:rsidR="00ED3417" w:rsidRPr="00D0682D">
        <w:rPr>
          <w:rFonts w:ascii="Verdana" w:eastAsia="Cambria" w:hAnsi="Verdana" w:cs="Times New Roman"/>
          <w:color w:val="auto"/>
          <w:sz w:val="22"/>
          <w:szCs w:val="22"/>
          <w:lang w:eastAsia="en-US"/>
        </w:rPr>
        <w:t>ena</w:t>
      </w:r>
      <w:r w:rsidR="009142BB" w:rsidRPr="00D0682D">
        <w:rPr>
          <w:rFonts w:ascii="Verdana" w:eastAsia="Cambria" w:hAnsi="Verdana" w:cs="Times New Roman"/>
          <w:color w:val="auto"/>
          <w:sz w:val="22"/>
          <w:szCs w:val="22"/>
          <w:lang w:eastAsia="en-US"/>
        </w:rPr>
        <w:t xml:space="preserve"> finančn</w:t>
      </w:r>
      <w:r w:rsidR="0014336C" w:rsidRPr="00D0682D">
        <w:rPr>
          <w:rFonts w:ascii="Verdana" w:eastAsia="Cambria" w:hAnsi="Verdana" w:cs="Times New Roman"/>
          <w:color w:val="auto"/>
          <w:sz w:val="22"/>
          <w:szCs w:val="22"/>
          <w:lang w:eastAsia="en-US"/>
        </w:rPr>
        <w:t>a</w:t>
      </w:r>
      <w:r w:rsidR="009142BB" w:rsidRPr="00D0682D">
        <w:rPr>
          <w:rFonts w:ascii="Verdana" w:eastAsia="Cambria" w:hAnsi="Verdana" w:cs="Times New Roman"/>
          <w:color w:val="auto"/>
          <w:sz w:val="22"/>
          <w:szCs w:val="22"/>
          <w:lang w:eastAsia="en-US"/>
        </w:rPr>
        <w:t xml:space="preserve"> vzdržnost in dolgoročn</w:t>
      </w:r>
      <w:r w:rsidR="0014336C" w:rsidRPr="00D0682D">
        <w:rPr>
          <w:rFonts w:ascii="Verdana" w:eastAsia="Cambria" w:hAnsi="Verdana" w:cs="Times New Roman"/>
          <w:color w:val="auto"/>
          <w:sz w:val="22"/>
          <w:szCs w:val="22"/>
          <w:lang w:eastAsia="en-US"/>
        </w:rPr>
        <w:t>a</w:t>
      </w:r>
      <w:r w:rsidR="009142BB" w:rsidRPr="00D0682D">
        <w:rPr>
          <w:rFonts w:ascii="Verdana" w:eastAsia="Cambria" w:hAnsi="Verdana" w:cs="Times New Roman"/>
          <w:color w:val="auto"/>
          <w:sz w:val="22"/>
          <w:szCs w:val="22"/>
          <w:lang w:eastAsia="en-US"/>
        </w:rPr>
        <w:t xml:space="preserve"> stabilnost za nemoteno delovanje in načrtovan razvoj agencije v prihodnje.</w:t>
      </w:r>
    </w:p>
    <w:p w14:paraId="3F333642" w14:textId="2E083721" w:rsidR="009142BB" w:rsidRPr="00D0682D" w:rsidRDefault="0042325F" w:rsidP="00D0682D">
      <w:pPr>
        <w:pStyle w:val="Default"/>
        <w:jc w:val="both"/>
        <w:rPr>
          <w:rFonts w:ascii="Verdana" w:hAnsi="Verdana"/>
          <w:sz w:val="22"/>
          <w:szCs w:val="22"/>
        </w:rPr>
      </w:pPr>
      <w:r w:rsidRPr="00D0682D">
        <w:rPr>
          <w:rFonts w:ascii="Verdana" w:hAnsi="Verdana"/>
          <w:sz w:val="22"/>
          <w:szCs w:val="22"/>
        </w:rPr>
        <w:lastRenderedPageBreak/>
        <w:t xml:space="preserve">V poročilu </w:t>
      </w:r>
      <w:r w:rsidR="00777444">
        <w:rPr>
          <w:rFonts w:ascii="Verdana" w:hAnsi="Verdana"/>
          <w:sz w:val="22"/>
          <w:szCs w:val="22"/>
        </w:rPr>
        <w:t xml:space="preserve">skupine strokovnjakov ENQA </w:t>
      </w:r>
      <w:r w:rsidRPr="00D0682D">
        <w:rPr>
          <w:rFonts w:ascii="Verdana" w:hAnsi="Verdana"/>
          <w:sz w:val="22"/>
          <w:szCs w:val="22"/>
        </w:rPr>
        <w:t xml:space="preserve">pa so bile tudi ugotovitve, s katerimi se agencija ni mogla strinjati. Šlo je za </w:t>
      </w:r>
      <w:r w:rsidR="009142BB" w:rsidRPr="00D0682D">
        <w:rPr>
          <w:rFonts w:ascii="Verdana" w:hAnsi="Verdana"/>
          <w:sz w:val="22"/>
          <w:szCs w:val="22"/>
        </w:rPr>
        <w:t>povzema</w:t>
      </w:r>
      <w:r w:rsidRPr="00D0682D">
        <w:rPr>
          <w:rFonts w:ascii="Verdana" w:hAnsi="Verdana"/>
          <w:sz w:val="22"/>
          <w:szCs w:val="22"/>
        </w:rPr>
        <w:t>nje</w:t>
      </w:r>
      <w:r w:rsidR="009142BB" w:rsidRPr="00D0682D">
        <w:rPr>
          <w:rFonts w:ascii="Verdana" w:hAnsi="Verdana"/>
          <w:sz w:val="22"/>
          <w:szCs w:val="22"/>
        </w:rPr>
        <w:t xml:space="preserve"> napačn</w:t>
      </w:r>
      <w:r w:rsidRPr="00D0682D">
        <w:rPr>
          <w:rFonts w:ascii="Verdana" w:hAnsi="Verdana"/>
          <w:sz w:val="22"/>
          <w:szCs w:val="22"/>
        </w:rPr>
        <w:t>ega</w:t>
      </w:r>
      <w:r w:rsidR="009142BB" w:rsidRPr="00D0682D">
        <w:rPr>
          <w:rFonts w:ascii="Verdana" w:hAnsi="Verdana"/>
          <w:sz w:val="22"/>
          <w:szCs w:val="22"/>
        </w:rPr>
        <w:t xml:space="preserve"> ali neustrezno ugotovljen</w:t>
      </w:r>
      <w:r w:rsidRPr="00D0682D">
        <w:rPr>
          <w:rFonts w:ascii="Verdana" w:hAnsi="Verdana"/>
          <w:sz w:val="22"/>
          <w:szCs w:val="22"/>
        </w:rPr>
        <w:t>ega</w:t>
      </w:r>
      <w:r w:rsidR="009142BB" w:rsidRPr="00D0682D">
        <w:rPr>
          <w:rFonts w:ascii="Verdana" w:hAnsi="Verdana"/>
          <w:sz w:val="22"/>
          <w:szCs w:val="22"/>
        </w:rPr>
        <w:t xml:space="preserve"> dejansk</w:t>
      </w:r>
      <w:r w:rsidRPr="00D0682D">
        <w:rPr>
          <w:rFonts w:ascii="Verdana" w:hAnsi="Verdana"/>
          <w:sz w:val="22"/>
          <w:szCs w:val="22"/>
        </w:rPr>
        <w:t>ega</w:t>
      </w:r>
      <w:r w:rsidR="009142BB" w:rsidRPr="00D0682D">
        <w:rPr>
          <w:rFonts w:ascii="Verdana" w:hAnsi="Verdana"/>
          <w:sz w:val="22"/>
          <w:szCs w:val="22"/>
        </w:rPr>
        <w:t xml:space="preserve"> stanj</w:t>
      </w:r>
      <w:r w:rsidRPr="00D0682D">
        <w:rPr>
          <w:rFonts w:ascii="Verdana" w:hAnsi="Verdana"/>
          <w:sz w:val="22"/>
          <w:szCs w:val="22"/>
        </w:rPr>
        <w:t xml:space="preserve">a </w:t>
      </w:r>
      <w:r w:rsidR="0014336C" w:rsidRPr="00D0682D">
        <w:rPr>
          <w:rFonts w:ascii="Verdana" w:hAnsi="Verdana"/>
          <w:sz w:val="22"/>
          <w:szCs w:val="22"/>
        </w:rPr>
        <w:t>oziroma</w:t>
      </w:r>
      <w:r w:rsidR="009142BB" w:rsidRPr="00D0682D">
        <w:rPr>
          <w:rFonts w:ascii="Verdana" w:hAnsi="Verdana"/>
          <w:sz w:val="22"/>
          <w:szCs w:val="22"/>
        </w:rPr>
        <w:t xml:space="preserve"> napačne, nerazuml</w:t>
      </w:r>
      <w:r w:rsidR="0014336C" w:rsidRPr="00D0682D">
        <w:rPr>
          <w:rFonts w:ascii="Verdana" w:hAnsi="Verdana"/>
          <w:sz w:val="22"/>
          <w:szCs w:val="22"/>
        </w:rPr>
        <w:t xml:space="preserve">jive oziroma izpuščene zapise. </w:t>
      </w:r>
      <w:r w:rsidR="009142BB" w:rsidRPr="00D0682D">
        <w:rPr>
          <w:rFonts w:ascii="Verdana" w:hAnsi="Verdana"/>
          <w:sz w:val="22"/>
          <w:szCs w:val="22"/>
        </w:rPr>
        <w:t xml:space="preserve">Neustrezno so bila </w:t>
      </w:r>
      <w:r w:rsidR="0014336C" w:rsidRPr="00D0682D">
        <w:rPr>
          <w:rFonts w:ascii="Verdana" w:hAnsi="Verdana"/>
          <w:sz w:val="22"/>
          <w:szCs w:val="22"/>
        </w:rPr>
        <w:t>u</w:t>
      </w:r>
      <w:r w:rsidR="009142BB" w:rsidRPr="00D0682D">
        <w:rPr>
          <w:rFonts w:ascii="Verdana" w:hAnsi="Verdana"/>
          <w:sz w:val="22"/>
          <w:szCs w:val="22"/>
        </w:rPr>
        <w:t>poštevana dejstva, ki se nanašajo na:</w:t>
      </w:r>
      <w:r w:rsidR="0014336C" w:rsidRPr="00D0682D">
        <w:rPr>
          <w:rFonts w:ascii="Verdana" w:hAnsi="Verdana"/>
          <w:sz w:val="22"/>
          <w:szCs w:val="22"/>
        </w:rPr>
        <w:t xml:space="preserve"> upoštevanje odločitev o akreditacijah in evalvacijah pri</w:t>
      </w:r>
      <w:r w:rsidR="009142BB" w:rsidRPr="00D0682D">
        <w:rPr>
          <w:rFonts w:ascii="Verdana" w:eastAsia="Cambria" w:hAnsi="Verdana" w:cs="Times New Roman"/>
          <w:color w:val="auto"/>
          <w:sz w:val="22"/>
          <w:szCs w:val="22"/>
          <w:lang w:eastAsia="en-US"/>
        </w:rPr>
        <w:t xml:space="preserve"> vpisu v razvid</w:t>
      </w:r>
      <w:r w:rsidR="0014336C" w:rsidRPr="00D0682D">
        <w:rPr>
          <w:rFonts w:ascii="Verdana" w:eastAsia="Cambria" w:hAnsi="Verdana" w:cs="Times New Roman"/>
          <w:color w:val="auto"/>
          <w:sz w:val="22"/>
          <w:szCs w:val="22"/>
          <w:lang w:eastAsia="en-US"/>
        </w:rPr>
        <w:t xml:space="preserve">, </w:t>
      </w:r>
      <w:r w:rsidR="009142BB" w:rsidRPr="00D0682D">
        <w:rPr>
          <w:rFonts w:ascii="Verdana" w:eastAsia="Cambria" w:hAnsi="Verdana" w:cs="Times New Roman"/>
          <w:color w:val="auto"/>
          <w:sz w:val="22"/>
          <w:szCs w:val="22"/>
          <w:lang w:eastAsia="en-US"/>
        </w:rPr>
        <w:t xml:space="preserve"> </w:t>
      </w:r>
      <w:r w:rsidR="0014336C" w:rsidRPr="00D0682D">
        <w:rPr>
          <w:rFonts w:ascii="Verdana" w:eastAsia="Cambria" w:hAnsi="Verdana" w:cs="Times New Roman"/>
          <w:color w:val="auto"/>
          <w:sz w:val="22"/>
          <w:szCs w:val="22"/>
          <w:lang w:eastAsia="en-US"/>
        </w:rPr>
        <w:t>članstvo</w:t>
      </w:r>
      <w:r w:rsidR="009142BB" w:rsidRPr="00D0682D">
        <w:rPr>
          <w:rFonts w:ascii="Verdana" w:hAnsi="Verdana" w:cs="Times New Roman"/>
          <w:sz w:val="22"/>
          <w:szCs w:val="22"/>
        </w:rPr>
        <w:t xml:space="preserve"> strokovnjaka </w:t>
      </w:r>
      <w:r w:rsidR="0014336C" w:rsidRPr="00D0682D">
        <w:rPr>
          <w:rFonts w:ascii="Verdana" w:hAnsi="Verdana" w:cs="Times New Roman"/>
          <w:sz w:val="22"/>
          <w:szCs w:val="22"/>
        </w:rPr>
        <w:t xml:space="preserve">iz tujine </w:t>
      </w:r>
      <w:r w:rsidR="009142BB" w:rsidRPr="00D0682D">
        <w:rPr>
          <w:rFonts w:ascii="Verdana" w:hAnsi="Verdana" w:cs="Times New Roman"/>
          <w:sz w:val="22"/>
          <w:szCs w:val="22"/>
        </w:rPr>
        <w:t>v svet</w:t>
      </w:r>
      <w:r w:rsidR="0014336C" w:rsidRPr="00D0682D">
        <w:rPr>
          <w:rFonts w:ascii="Verdana" w:hAnsi="Verdana" w:cs="Times New Roman"/>
          <w:sz w:val="22"/>
          <w:szCs w:val="22"/>
        </w:rPr>
        <w:t>u</w:t>
      </w:r>
      <w:r w:rsidR="009142BB" w:rsidRPr="00D0682D">
        <w:rPr>
          <w:rFonts w:ascii="Verdana" w:hAnsi="Verdana" w:cs="Times New Roman"/>
          <w:sz w:val="22"/>
          <w:szCs w:val="22"/>
        </w:rPr>
        <w:t xml:space="preserve"> agencije, pomanjk</w:t>
      </w:r>
      <w:r w:rsidR="0014336C" w:rsidRPr="00D0682D">
        <w:rPr>
          <w:rFonts w:ascii="Verdana" w:hAnsi="Verdana" w:cs="Times New Roman"/>
          <w:sz w:val="22"/>
          <w:szCs w:val="22"/>
        </w:rPr>
        <w:t>ljivo</w:t>
      </w:r>
      <w:r w:rsidR="009142BB" w:rsidRPr="00D0682D">
        <w:rPr>
          <w:rFonts w:ascii="Verdana" w:hAnsi="Verdana" w:cs="Times New Roman"/>
          <w:sz w:val="22"/>
          <w:szCs w:val="22"/>
        </w:rPr>
        <w:t xml:space="preserve"> sodelovanja sveta agencije pri </w:t>
      </w:r>
      <w:proofErr w:type="spellStart"/>
      <w:r w:rsidR="009142BB" w:rsidRPr="00D0682D">
        <w:rPr>
          <w:rFonts w:ascii="Verdana" w:hAnsi="Verdana" w:cs="Times New Roman"/>
          <w:sz w:val="22"/>
          <w:szCs w:val="22"/>
        </w:rPr>
        <w:t>samoevalacijskih</w:t>
      </w:r>
      <w:proofErr w:type="spellEnd"/>
      <w:r w:rsidR="009142BB" w:rsidRPr="00D0682D">
        <w:rPr>
          <w:rFonts w:ascii="Verdana" w:hAnsi="Verdana" w:cs="Times New Roman"/>
          <w:sz w:val="22"/>
          <w:szCs w:val="22"/>
        </w:rPr>
        <w:t xml:space="preserve"> postopkih, </w:t>
      </w:r>
      <w:r w:rsidR="0014336C" w:rsidRPr="00D0682D">
        <w:rPr>
          <w:rFonts w:ascii="Verdana" w:hAnsi="Verdana" w:cs="Times New Roman"/>
          <w:sz w:val="22"/>
          <w:szCs w:val="22"/>
        </w:rPr>
        <w:t xml:space="preserve">status študenta v skladu z ZViS ter nadaljnje spremljanje kakovosti visokošolskih zavodov in višjih strokovnih šol </w:t>
      </w:r>
      <w:r w:rsidR="009142BB" w:rsidRPr="00D0682D">
        <w:rPr>
          <w:rFonts w:ascii="Verdana" w:hAnsi="Verdana"/>
          <w:sz w:val="22"/>
          <w:szCs w:val="22"/>
        </w:rPr>
        <w:t>(</w:t>
      </w:r>
      <w:proofErr w:type="spellStart"/>
      <w:r w:rsidR="009142BB" w:rsidRPr="00D0682D">
        <w:rPr>
          <w:rFonts w:ascii="Verdana" w:hAnsi="Verdana"/>
          <w:sz w:val="22"/>
          <w:szCs w:val="22"/>
        </w:rPr>
        <w:t>follow</w:t>
      </w:r>
      <w:proofErr w:type="spellEnd"/>
      <w:r w:rsidR="009142BB" w:rsidRPr="00D0682D">
        <w:rPr>
          <w:rFonts w:ascii="Verdana" w:hAnsi="Verdana"/>
          <w:sz w:val="22"/>
          <w:szCs w:val="22"/>
        </w:rPr>
        <w:t>-up)</w:t>
      </w:r>
      <w:r w:rsidR="0014336C" w:rsidRPr="00D0682D">
        <w:rPr>
          <w:rFonts w:ascii="Verdana" w:hAnsi="Verdana"/>
          <w:sz w:val="22"/>
          <w:szCs w:val="22"/>
        </w:rPr>
        <w:t xml:space="preserve"> ter napačne ugotovitve o možnostih</w:t>
      </w:r>
      <w:r w:rsidR="009142BB" w:rsidRPr="00D0682D">
        <w:rPr>
          <w:rFonts w:ascii="Verdana" w:hAnsi="Verdana"/>
          <w:sz w:val="22"/>
          <w:szCs w:val="22"/>
        </w:rPr>
        <w:t xml:space="preserve"> vlagatelj</w:t>
      </w:r>
      <w:r w:rsidR="0014336C" w:rsidRPr="00D0682D">
        <w:rPr>
          <w:rFonts w:ascii="Verdana" w:hAnsi="Verdana"/>
          <w:sz w:val="22"/>
          <w:szCs w:val="22"/>
        </w:rPr>
        <w:t>ev v akreditacijskih in evalvacijskih postopkih</w:t>
      </w:r>
      <w:r w:rsidR="00D0682D" w:rsidRPr="00D0682D">
        <w:rPr>
          <w:rFonts w:ascii="Verdana" w:hAnsi="Verdana"/>
          <w:sz w:val="22"/>
          <w:szCs w:val="22"/>
        </w:rPr>
        <w:t xml:space="preserve"> glede</w:t>
      </w:r>
      <w:r w:rsidR="009142BB" w:rsidRPr="00D0682D">
        <w:rPr>
          <w:rFonts w:ascii="Verdana" w:hAnsi="Verdana"/>
          <w:sz w:val="22"/>
          <w:szCs w:val="22"/>
        </w:rPr>
        <w:t xml:space="preserve"> vsebinsk</w:t>
      </w:r>
      <w:r w:rsidR="00D0682D" w:rsidRPr="00D0682D">
        <w:rPr>
          <w:rFonts w:ascii="Verdana" w:hAnsi="Verdana"/>
          <w:sz w:val="22"/>
          <w:szCs w:val="22"/>
        </w:rPr>
        <w:t>ega</w:t>
      </w:r>
      <w:r w:rsidR="009142BB" w:rsidRPr="00D0682D">
        <w:rPr>
          <w:rFonts w:ascii="Verdana" w:hAnsi="Verdana"/>
          <w:sz w:val="22"/>
          <w:szCs w:val="22"/>
        </w:rPr>
        <w:t xml:space="preserve"> dopolnj</w:t>
      </w:r>
      <w:r w:rsidR="00D0682D" w:rsidRPr="00D0682D">
        <w:rPr>
          <w:rFonts w:ascii="Verdana" w:hAnsi="Verdana"/>
          <w:sz w:val="22"/>
          <w:szCs w:val="22"/>
        </w:rPr>
        <w:t>evanja oziroma</w:t>
      </w:r>
      <w:r w:rsidR="009142BB" w:rsidRPr="00D0682D">
        <w:rPr>
          <w:rFonts w:ascii="Verdana" w:hAnsi="Verdana"/>
          <w:sz w:val="22"/>
          <w:szCs w:val="22"/>
        </w:rPr>
        <w:t xml:space="preserve"> popravlja</w:t>
      </w:r>
      <w:r w:rsidR="00D0682D" w:rsidRPr="00D0682D">
        <w:rPr>
          <w:rFonts w:ascii="Verdana" w:hAnsi="Verdana"/>
          <w:sz w:val="22"/>
          <w:szCs w:val="22"/>
        </w:rPr>
        <w:t>nj</w:t>
      </w:r>
      <w:r w:rsidR="00777444">
        <w:rPr>
          <w:rFonts w:ascii="Verdana" w:hAnsi="Verdana"/>
          <w:sz w:val="22"/>
          <w:szCs w:val="22"/>
        </w:rPr>
        <w:t>a</w:t>
      </w:r>
      <w:r w:rsidR="009142BB" w:rsidRPr="00D0682D">
        <w:rPr>
          <w:rFonts w:ascii="Verdana" w:hAnsi="Verdana"/>
          <w:sz w:val="22"/>
          <w:szCs w:val="22"/>
        </w:rPr>
        <w:t xml:space="preserve"> vlog, </w:t>
      </w:r>
      <w:r w:rsidR="00D0682D" w:rsidRPr="00D0682D">
        <w:rPr>
          <w:rFonts w:ascii="Verdana" w:hAnsi="Verdana"/>
          <w:sz w:val="22"/>
          <w:szCs w:val="22"/>
        </w:rPr>
        <w:t>premajhnih</w:t>
      </w:r>
      <w:r w:rsidR="009142BB" w:rsidRPr="00D0682D">
        <w:rPr>
          <w:rFonts w:ascii="Verdana" w:hAnsi="Verdana"/>
          <w:sz w:val="22"/>
          <w:szCs w:val="22"/>
        </w:rPr>
        <w:t xml:space="preserve"> sredstv</w:t>
      </w:r>
      <w:r w:rsidR="00D0682D" w:rsidRPr="00D0682D">
        <w:rPr>
          <w:rFonts w:ascii="Verdana" w:hAnsi="Verdana"/>
          <w:sz w:val="22"/>
          <w:szCs w:val="22"/>
        </w:rPr>
        <w:t>ih</w:t>
      </w:r>
      <w:r w:rsidR="009142BB" w:rsidRPr="00D0682D">
        <w:rPr>
          <w:rFonts w:ascii="Verdana" w:hAnsi="Verdana"/>
          <w:sz w:val="22"/>
          <w:szCs w:val="22"/>
        </w:rPr>
        <w:t xml:space="preserve"> za delovanje</w:t>
      </w:r>
      <w:r w:rsidR="00D0682D" w:rsidRPr="00D0682D">
        <w:rPr>
          <w:rFonts w:ascii="Verdana" w:hAnsi="Verdana"/>
          <w:sz w:val="22"/>
          <w:szCs w:val="22"/>
        </w:rPr>
        <w:t xml:space="preserve"> agencije</w:t>
      </w:r>
      <w:r w:rsidR="009142BB" w:rsidRPr="00D0682D">
        <w:rPr>
          <w:rFonts w:ascii="Verdana" w:hAnsi="Verdana"/>
          <w:sz w:val="22"/>
          <w:szCs w:val="22"/>
        </w:rPr>
        <w:t>,</w:t>
      </w:r>
      <w:r w:rsidR="00D0682D" w:rsidRPr="00D0682D">
        <w:rPr>
          <w:rFonts w:ascii="Verdana" w:hAnsi="Verdana"/>
          <w:sz w:val="22"/>
          <w:szCs w:val="22"/>
        </w:rPr>
        <w:t xml:space="preserve"> slabem sodelovanju zunanjih deležnikov pri </w:t>
      </w:r>
      <w:r w:rsidR="009142BB" w:rsidRPr="00D0682D">
        <w:rPr>
          <w:rFonts w:ascii="Verdana" w:hAnsi="Verdana"/>
          <w:sz w:val="22"/>
          <w:szCs w:val="22"/>
        </w:rPr>
        <w:t>sprejemanju zakonodaje in drugih dokumentov,</w:t>
      </w:r>
      <w:r w:rsidR="00D0682D" w:rsidRPr="00D0682D">
        <w:rPr>
          <w:rFonts w:ascii="Verdana" w:hAnsi="Verdana"/>
          <w:sz w:val="22"/>
          <w:szCs w:val="22"/>
        </w:rPr>
        <w:t xml:space="preserve"> </w:t>
      </w:r>
      <w:r w:rsidR="009142BB" w:rsidRPr="00D0682D">
        <w:rPr>
          <w:rFonts w:ascii="Verdana" w:hAnsi="Verdana"/>
          <w:sz w:val="22"/>
          <w:szCs w:val="22"/>
        </w:rPr>
        <w:t>pomanjkljivem vključevanju strokovnih sodelavcev v postopk</w:t>
      </w:r>
      <w:r w:rsidR="00D0682D" w:rsidRPr="00D0682D">
        <w:rPr>
          <w:rFonts w:ascii="Verdana" w:hAnsi="Verdana"/>
          <w:sz w:val="22"/>
          <w:szCs w:val="22"/>
        </w:rPr>
        <w:t>e</w:t>
      </w:r>
      <w:r w:rsidR="009142BB" w:rsidRPr="00D0682D">
        <w:rPr>
          <w:rFonts w:ascii="Verdana" w:hAnsi="Verdana"/>
          <w:sz w:val="22"/>
          <w:szCs w:val="22"/>
        </w:rPr>
        <w:t xml:space="preserve"> odločanja in upravljanja na agenciji</w:t>
      </w:r>
      <w:r w:rsidR="00D0682D" w:rsidRPr="00D0682D">
        <w:rPr>
          <w:rFonts w:ascii="Verdana" w:hAnsi="Verdana"/>
          <w:sz w:val="22"/>
          <w:szCs w:val="22"/>
        </w:rPr>
        <w:t>, nesodelovanju</w:t>
      </w:r>
      <w:r w:rsidR="009142BB" w:rsidRPr="00D0682D">
        <w:rPr>
          <w:rFonts w:ascii="Verdana" w:hAnsi="Verdana"/>
          <w:sz w:val="22"/>
          <w:szCs w:val="22"/>
        </w:rPr>
        <w:t xml:space="preserve"> strokovni</w:t>
      </w:r>
      <w:r w:rsidR="00D0682D" w:rsidRPr="00D0682D">
        <w:rPr>
          <w:rFonts w:ascii="Verdana" w:hAnsi="Verdana"/>
          <w:sz w:val="22"/>
          <w:szCs w:val="22"/>
        </w:rPr>
        <w:t>h</w:t>
      </w:r>
      <w:r w:rsidR="009142BB" w:rsidRPr="00D0682D">
        <w:rPr>
          <w:rFonts w:ascii="Verdana" w:hAnsi="Verdana"/>
          <w:sz w:val="22"/>
          <w:szCs w:val="22"/>
        </w:rPr>
        <w:t xml:space="preserve"> delavc</w:t>
      </w:r>
      <w:r w:rsidR="00D0682D" w:rsidRPr="00D0682D">
        <w:rPr>
          <w:rFonts w:ascii="Verdana" w:hAnsi="Verdana"/>
          <w:sz w:val="22"/>
          <w:szCs w:val="22"/>
        </w:rPr>
        <w:t>ev</w:t>
      </w:r>
      <w:r w:rsidR="009142BB" w:rsidRPr="00D0682D">
        <w:rPr>
          <w:rFonts w:ascii="Verdana" w:hAnsi="Verdana"/>
          <w:sz w:val="22"/>
          <w:szCs w:val="22"/>
        </w:rPr>
        <w:t xml:space="preserve"> v razpravah na svetu agencije</w:t>
      </w:r>
      <w:r w:rsidR="00D0682D" w:rsidRPr="00D0682D">
        <w:rPr>
          <w:rFonts w:ascii="Verdana" w:hAnsi="Verdana"/>
          <w:sz w:val="22"/>
          <w:szCs w:val="22"/>
        </w:rPr>
        <w:t xml:space="preserve"> ter o tem, </w:t>
      </w:r>
      <w:r w:rsidR="009142BB" w:rsidRPr="00D0682D">
        <w:rPr>
          <w:rFonts w:ascii="Verdana" w:hAnsi="Verdana"/>
          <w:sz w:val="22"/>
          <w:szCs w:val="22"/>
        </w:rPr>
        <w:t>da člani sveta ne sodelujejo pri pripravi in sprejemanju samoevalvacijskega poročila.</w:t>
      </w:r>
    </w:p>
    <w:p w14:paraId="2AB553F3" w14:textId="77777777" w:rsidR="00033910" w:rsidRDefault="00033910" w:rsidP="009142BB">
      <w:pPr>
        <w:pStyle w:val="Default"/>
        <w:jc w:val="both"/>
        <w:rPr>
          <w:rFonts w:ascii="Verdana" w:hAnsi="Verdana" w:cs="Times New Roman"/>
          <w:sz w:val="22"/>
          <w:szCs w:val="22"/>
        </w:rPr>
      </w:pPr>
    </w:p>
    <w:p w14:paraId="0962602E" w14:textId="5288C80D" w:rsidR="009142BB" w:rsidRPr="00DE223C" w:rsidRDefault="00602DCC" w:rsidP="009142BB">
      <w:pPr>
        <w:pStyle w:val="Default"/>
        <w:jc w:val="both"/>
        <w:rPr>
          <w:rFonts w:ascii="Verdana" w:eastAsia="Cambria" w:hAnsi="Verdana" w:cs="Times New Roman"/>
          <w:color w:val="auto"/>
          <w:sz w:val="22"/>
          <w:szCs w:val="22"/>
          <w:lang w:eastAsia="en-US"/>
        </w:rPr>
      </w:pPr>
      <w:r w:rsidRPr="00DE223C">
        <w:rPr>
          <w:rFonts w:ascii="Verdana" w:eastAsia="Cambria" w:hAnsi="Verdana" w:cs="Times New Roman"/>
          <w:color w:val="auto"/>
          <w:sz w:val="22"/>
          <w:szCs w:val="22"/>
          <w:lang w:eastAsia="en-US"/>
        </w:rPr>
        <w:t xml:space="preserve">Agencija je </w:t>
      </w:r>
      <w:r w:rsidR="00D0682D" w:rsidRPr="00122A06">
        <w:rPr>
          <w:rFonts w:ascii="Verdana" w:eastAsia="Cambria" w:hAnsi="Verdana" w:cs="Times New Roman"/>
          <w:color w:val="auto"/>
          <w:sz w:val="22"/>
          <w:szCs w:val="22"/>
          <w:lang w:eastAsia="en-US"/>
        </w:rPr>
        <w:t xml:space="preserve">7. septembra </w:t>
      </w:r>
      <w:r w:rsidRPr="00122A06">
        <w:rPr>
          <w:rFonts w:ascii="Verdana" w:eastAsia="Cambria" w:hAnsi="Verdana" w:cs="Times New Roman"/>
          <w:color w:val="auto"/>
          <w:sz w:val="22"/>
          <w:szCs w:val="22"/>
          <w:lang w:eastAsia="en-US"/>
        </w:rPr>
        <w:t>2018</w:t>
      </w:r>
      <w:r w:rsidRPr="00DE223C">
        <w:rPr>
          <w:rFonts w:ascii="Verdana" w:eastAsia="Cambria" w:hAnsi="Verdana" w:cs="Times New Roman"/>
          <w:color w:val="auto"/>
          <w:sz w:val="22"/>
          <w:szCs w:val="22"/>
          <w:lang w:eastAsia="en-US"/>
        </w:rPr>
        <w:t xml:space="preserve"> poslala obširen odgovor</w:t>
      </w:r>
      <w:r w:rsidR="00777444">
        <w:rPr>
          <w:rFonts w:ascii="Verdana" w:eastAsia="Cambria" w:hAnsi="Verdana" w:cs="Times New Roman"/>
          <w:color w:val="auto"/>
          <w:sz w:val="22"/>
          <w:szCs w:val="22"/>
          <w:lang w:eastAsia="en-US"/>
        </w:rPr>
        <w:t xml:space="preserve"> </w:t>
      </w:r>
      <w:r w:rsidR="00777444" w:rsidRPr="00DE223C">
        <w:rPr>
          <w:rFonts w:ascii="Verdana" w:eastAsia="Cambria" w:hAnsi="Verdana" w:cs="Times New Roman"/>
          <w:color w:val="auto"/>
          <w:sz w:val="22"/>
          <w:szCs w:val="22"/>
          <w:lang w:eastAsia="en-US"/>
        </w:rPr>
        <w:t>na poročilo ENQA</w:t>
      </w:r>
      <w:r w:rsidRPr="00DE223C">
        <w:rPr>
          <w:rFonts w:ascii="Verdana" w:eastAsia="Cambria" w:hAnsi="Verdana" w:cs="Times New Roman"/>
          <w:color w:val="auto"/>
          <w:sz w:val="22"/>
          <w:szCs w:val="22"/>
          <w:lang w:eastAsia="en-US"/>
        </w:rPr>
        <w:t xml:space="preserve">, v katerem je poleg poročila o ukrepih, ki jih je </w:t>
      </w:r>
      <w:r w:rsidR="00DE223C" w:rsidRPr="00DE223C">
        <w:rPr>
          <w:rFonts w:ascii="Verdana" w:eastAsia="Cambria" w:hAnsi="Verdana" w:cs="Times New Roman"/>
          <w:color w:val="auto"/>
          <w:sz w:val="22"/>
          <w:szCs w:val="22"/>
          <w:lang w:eastAsia="en-US"/>
        </w:rPr>
        <w:t xml:space="preserve">že </w:t>
      </w:r>
      <w:r w:rsidRPr="00DE223C">
        <w:rPr>
          <w:rFonts w:ascii="Verdana" w:eastAsia="Cambria" w:hAnsi="Verdana" w:cs="Times New Roman"/>
          <w:color w:val="auto"/>
          <w:sz w:val="22"/>
          <w:szCs w:val="22"/>
          <w:lang w:eastAsia="en-US"/>
        </w:rPr>
        <w:t xml:space="preserve">sprejela </w:t>
      </w:r>
      <w:r w:rsidR="00DE223C" w:rsidRPr="00DE223C">
        <w:rPr>
          <w:rFonts w:ascii="Verdana" w:eastAsia="Cambria" w:hAnsi="Verdana" w:cs="Times New Roman"/>
          <w:color w:val="auto"/>
          <w:sz w:val="22"/>
          <w:szCs w:val="22"/>
          <w:lang w:eastAsia="en-US"/>
        </w:rPr>
        <w:t xml:space="preserve">ali jih namerava sprejeti v kratkem </w:t>
      </w:r>
      <w:r w:rsidRPr="00DE223C">
        <w:rPr>
          <w:rFonts w:ascii="Verdana" w:eastAsia="Cambria" w:hAnsi="Verdana" w:cs="Times New Roman"/>
          <w:color w:val="auto"/>
          <w:sz w:val="22"/>
          <w:szCs w:val="22"/>
          <w:lang w:eastAsia="en-US"/>
        </w:rPr>
        <w:t xml:space="preserve">na podlagi priporočil skupine ENQA, pojasnila tudi svoje nestrinjanje z nekaterimi ugotovitvami ter priložila različna dokazila. Skupino je prosila, da pripombe in dokazila upošteva pri pripravi končnega poročila. </w:t>
      </w:r>
      <w:r w:rsidR="00806BC8">
        <w:rPr>
          <w:rFonts w:ascii="Verdana" w:eastAsia="Cambria" w:hAnsi="Verdana" w:cs="Times New Roman"/>
          <w:color w:val="auto"/>
          <w:sz w:val="22"/>
          <w:szCs w:val="22"/>
          <w:lang w:eastAsia="en-US"/>
        </w:rPr>
        <w:t>Pri pripravi odgovora in dodatne dokumentacije so sodelovali strokovni delavci iz vseh sektorjev.</w:t>
      </w:r>
    </w:p>
    <w:p w14:paraId="1E108274" w14:textId="77777777" w:rsidR="009142BB" w:rsidRPr="00DE223C" w:rsidRDefault="009142BB" w:rsidP="009142BB">
      <w:pPr>
        <w:pStyle w:val="Default"/>
        <w:jc w:val="both"/>
        <w:rPr>
          <w:rFonts w:ascii="Verdana" w:eastAsia="Cambria" w:hAnsi="Verdana" w:cs="Times New Roman"/>
          <w:color w:val="auto"/>
          <w:sz w:val="22"/>
          <w:szCs w:val="22"/>
          <w:lang w:eastAsia="en-US"/>
        </w:rPr>
      </w:pPr>
    </w:p>
    <w:p w14:paraId="7A696963" w14:textId="77777777" w:rsidR="009142BB" w:rsidRDefault="00DE223C" w:rsidP="00493ED4">
      <w:pPr>
        <w:jc w:val="both"/>
        <w:rPr>
          <w:rFonts w:ascii="Verdana" w:hAnsi="Verdana"/>
        </w:rPr>
      </w:pPr>
      <w:r>
        <w:rPr>
          <w:rFonts w:ascii="Verdana" w:hAnsi="Verdana"/>
        </w:rPr>
        <w:t>Skupina strokovnjakov ENQA je končno poročilo izdelala</w:t>
      </w:r>
      <w:r w:rsidR="00123BE5">
        <w:rPr>
          <w:rFonts w:ascii="Verdana" w:hAnsi="Verdana"/>
        </w:rPr>
        <w:t xml:space="preserve"> 17. oktobra 2018</w:t>
      </w:r>
      <w:r>
        <w:rPr>
          <w:rFonts w:ascii="Verdana" w:hAnsi="Verdana"/>
        </w:rPr>
        <w:t xml:space="preserve">, v njem pa ni upoštevala tistih pripomb agencije, ki bi vplivale na njeno ugotovitev o izpolnjevanju posameznih ESG. Tako je obveljalo, da agencija v celoti izpolnjuje 3 standarde, </w:t>
      </w:r>
      <w:r w:rsidR="00033910">
        <w:rPr>
          <w:rFonts w:ascii="Verdana" w:hAnsi="Verdana"/>
        </w:rPr>
        <w:t>večinoma</w:t>
      </w:r>
      <w:r>
        <w:rPr>
          <w:rFonts w:ascii="Verdana" w:hAnsi="Verdana"/>
        </w:rPr>
        <w:t xml:space="preserve"> 8 standardov, delno pa 3.</w:t>
      </w:r>
    </w:p>
    <w:p w14:paraId="38FD0595" w14:textId="646F6C2B" w:rsidR="00123BE5" w:rsidRPr="00276644" w:rsidRDefault="00123BE5" w:rsidP="00493ED4">
      <w:pPr>
        <w:jc w:val="both"/>
        <w:rPr>
          <w:rFonts w:ascii="Verdana" w:hAnsi="Verdana"/>
        </w:rPr>
      </w:pPr>
      <w:r>
        <w:rPr>
          <w:rFonts w:ascii="Verdana" w:hAnsi="Verdana"/>
        </w:rPr>
        <w:t xml:space="preserve">Na podlagi zunanje evalvacije je bilo agenciji </w:t>
      </w:r>
      <w:r w:rsidRPr="00847086">
        <w:rPr>
          <w:rFonts w:ascii="Verdana" w:hAnsi="Verdana"/>
          <w:b/>
        </w:rPr>
        <w:t>21. decembra 2018 podaljšano članstvo v ENQA za 5 let</w:t>
      </w:r>
      <w:r w:rsidR="00EA22A4">
        <w:rPr>
          <w:rFonts w:ascii="Verdana" w:hAnsi="Verdana"/>
        </w:rPr>
        <w:t>, kar je priznanje agenciji za kakovostno delovanje doma in v evropskem visokošolskem prostoru</w:t>
      </w:r>
      <w:r>
        <w:rPr>
          <w:rFonts w:ascii="Verdana" w:hAnsi="Verdana"/>
        </w:rPr>
        <w:t>.</w:t>
      </w:r>
    </w:p>
    <w:p w14:paraId="763ABF2D" w14:textId="77777777" w:rsidR="00276644" w:rsidRPr="00FC6848" w:rsidRDefault="00276644" w:rsidP="00F904E1">
      <w:pPr>
        <w:rPr>
          <w:rFonts w:ascii="Verdana" w:hAnsi="Verdana"/>
          <w:b/>
        </w:rPr>
      </w:pPr>
      <w:r w:rsidRPr="00FC6848">
        <w:rPr>
          <w:rFonts w:ascii="Verdana" w:hAnsi="Verdana"/>
          <w:b/>
        </w:rPr>
        <w:t>Vzpostavitev delovanja eNakvis</w:t>
      </w:r>
    </w:p>
    <w:p w14:paraId="46C51B68" w14:textId="77777777" w:rsidR="00D23740" w:rsidRDefault="003E1534" w:rsidP="00D23740">
      <w:pPr>
        <w:spacing w:line="256" w:lineRule="auto"/>
        <w:jc w:val="both"/>
        <w:rPr>
          <w:rFonts w:ascii="Verdana" w:hAnsi="Verdana"/>
        </w:rPr>
      </w:pPr>
      <w:r>
        <w:rPr>
          <w:rFonts w:ascii="Verdana" w:hAnsi="Verdana"/>
        </w:rPr>
        <w:t>Hkrati z nastajanjem novih meril za akreditacijo in zunanjo evalvacijo visokošolskih zavodov in študijskih programov so nastajali novi elektronski obrazci za vloge; vzporedno s tem se</w:t>
      </w:r>
      <w:r w:rsidR="005156F7">
        <w:rPr>
          <w:rFonts w:ascii="Verdana" w:hAnsi="Verdana"/>
        </w:rPr>
        <w:t xml:space="preserve"> </w:t>
      </w:r>
      <w:r>
        <w:rPr>
          <w:rFonts w:ascii="Verdana" w:hAnsi="Verdana"/>
        </w:rPr>
        <w:t xml:space="preserve">je </w:t>
      </w:r>
      <w:r w:rsidR="005156F7">
        <w:rPr>
          <w:rFonts w:ascii="Verdana" w:hAnsi="Verdana"/>
        </w:rPr>
        <w:t xml:space="preserve">še pred začetkom svojega delovanja v produkcijskem okolju </w:t>
      </w:r>
      <w:r>
        <w:rPr>
          <w:rFonts w:ascii="Verdana" w:hAnsi="Verdana"/>
        </w:rPr>
        <w:t>spreminjal</w:t>
      </w:r>
      <w:r w:rsidR="005156F7">
        <w:rPr>
          <w:rFonts w:ascii="Verdana" w:hAnsi="Verdana"/>
        </w:rPr>
        <w:t xml:space="preserve"> eNakvis</w:t>
      </w:r>
      <w:r>
        <w:rPr>
          <w:rFonts w:ascii="Verdana" w:hAnsi="Verdana"/>
        </w:rPr>
        <w:t xml:space="preserve">. </w:t>
      </w:r>
      <w:r w:rsidR="00D23740" w:rsidRPr="00D23740">
        <w:rPr>
          <w:rFonts w:ascii="Verdana" w:hAnsi="Verdana"/>
        </w:rPr>
        <w:t xml:space="preserve"> </w:t>
      </w:r>
    </w:p>
    <w:p w14:paraId="12B93A94" w14:textId="40B7EBB4" w:rsidR="00D23740" w:rsidRPr="001229F3" w:rsidRDefault="00D23740" w:rsidP="00D23740">
      <w:pPr>
        <w:spacing w:line="256" w:lineRule="auto"/>
        <w:jc w:val="both"/>
        <w:rPr>
          <w:rFonts w:ascii="Verdana" w:hAnsi="Verdana"/>
        </w:rPr>
      </w:pPr>
      <w:r>
        <w:rPr>
          <w:rFonts w:ascii="Verdana" w:hAnsi="Verdana"/>
        </w:rPr>
        <w:t xml:space="preserve">Z uveljavitvijo ZViS-K decembra 2016 </w:t>
      </w:r>
      <w:r w:rsidRPr="001229F3">
        <w:rPr>
          <w:rFonts w:ascii="Verdana" w:hAnsi="Verdana"/>
        </w:rPr>
        <w:t xml:space="preserve">je </w:t>
      </w:r>
      <w:r>
        <w:rPr>
          <w:rFonts w:ascii="Verdana" w:hAnsi="Verdana"/>
        </w:rPr>
        <w:t xml:space="preserve">bil uzakonjen </w:t>
      </w:r>
      <w:r w:rsidRPr="001229F3">
        <w:rPr>
          <w:rFonts w:ascii="Verdana" w:hAnsi="Verdana"/>
        </w:rPr>
        <w:t>moratorij na oddajo vlog za akreditacijo in zunanjo evalvacijo</w:t>
      </w:r>
      <w:r>
        <w:rPr>
          <w:rFonts w:ascii="Verdana" w:hAnsi="Verdana"/>
        </w:rPr>
        <w:t xml:space="preserve"> do sprejetja novih meril</w:t>
      </w:r>
      <w:r w:rsidR="00135D26">
        <w:rPr>
          <w:rFonts w:ascii="Verdana" w:hAnsi="Verdana"/>
        </w:rPr>
        <w:t xml:space="preserve"> oziroma do z njimi določenega roka za oddajanje elektronskih vlog konec</w:t>
      </w:r>
      <w:r w:rsidRPr="001229F3">
        <w:rPr>
          <w:rFonts w:ascii="Verdana" w:hAnsi="Verdana"/>
        </w:rPr>
        <w:t xml:space="preserve"> septembr</w:t>
      </w:r>
      <w:r w:rsidR="00135D26">
        <w:rPr>
          <w:rFonts w:ascii="Verdana" w:hAnsi="Verdana"/>
        </w:rPr>
        <w:t>a</w:t>
      </w:r>
      <w:r w:rsidRPr="001229F3">
        <w:rPr>
          <w:rFonts w:ascii="Verdana" w:hAnsi="Verdana"/>
        </w:rPr>
        <w:t xml:space="preserve"> 2017. </w:t>
      </w:r>
      <w:r w:rsidR="00135D26">
        <w:rPr>
          <w:rFonts w:ascii="Verdana" w:hAnsi="Verdana"/>
        </w:rPr>
        <w:t>Žal se je zaradi različnih zapletov</w:t>
      </w:r>
      <w:r w:rsidR="00D5353D">
        <w:rPr>
          <w:rFonts w:ascii="Verdana" w:hAnsi="Verdana"/>
        </w:rPr>
        <w:t xml:space="preserve"> in testiranj informacijskega sistema na ministrstvu, pristojnem za javno upravo, zapletov pri povezovanju (izmenjevanju) podatkov</w:t>
      </w:r>
      <w:r w:rsidR="00135D26">
        <w:rPr>
          <w:rFonts w:ascii="Verdana" w:hAnsi="Verdana"/>
        </w:rPr>
        <w:t xml:space="preserve"> </w:t>
      </w:r>
      <w:r w:rsidR="00D5353D">
        <w:rPr>
          <w:rFonts w:ascii="Verdana" w:hAnsi="Verdana"/>
        </w:rPr>
        <w:t xml:space="preserve">z eVŠ in podatkovnimi bazami univerz ter drugih visokošolskih zavodov </w:t>
      </w:r>
      <w:r w:rsidR="00135D26">
        <w:rPr>
          <w:rFonts w:ascii="Verdana" w:hAnsi="Verdana"/>
        </w:rPr>
        <w:t xml:space="preserve">vzpostavitev eNakvis </w:t>
      </w:r>
      <w:r w:rsidR="00135D26">
        <w:rPr>
          <w:rFonts w:ascii="Verdana" w:hAnsi="Verdana"/>
        </w:rPr>
        <w:lastRenderedPageBreak/>
        <w:t>nenehno prestavljala tako, da je bilo vsem vlagateljem omogočeno oddaja</w:t>
      </w:r>
      <w:r w:rsidR="00FC4606">
        <w:rPr>
          <w:rFonts w:ascii="Verdana" w:hAnsi="Verdana"/>
        </w:rPr>
        <w:t>nje</w:t>
      </w:r>
      <w:r w:rsidR="00135D26">
        <w:rPr>
          <w:rFonts w:ascii="Verdana" w:hAnsi="Verdana"/>
        </w:rPr>
        <w:t xml:space="preserve"> vlog prek eNakvis šele v drugi polovici leta 2018</w:t>
      </w:r>
      <w:r w:rsidR="00D5353D">
        <w:rPr>
          <w:rFonts w:ascii="Verdana" w:hAnsi="Verdana"/>
        </w:rPr>
        <w:t>.</w:t>
      </w:r>
    </w:p>
    <w:p w14:paraId="5D48C49E" w14:textId="77777777" w:rsidR="00F904E1" w:rsidRPr="005428AC" w:rsidRDefault="00F904E1" w:rsidP="00F904E1">
      <w:pPr>
        <w:rPr>
          <w:rFonts w:ascii="Verdana" w:hAnsi="Verdana"/>
          <w:b/>
        </w:rPr>
      </w:pPr>
      <w:r w:rsidRPr="005428AC">
        <w:rPr>
          <w:rFonts w:ascii="Verdana" w:hAnsi="Verdana"/>
          <w:b/>
        </w:rPr>
        <w:t>Reorganizacija dela agencije</w:t>
      </w:r>
    </w:p>
    <w:p w14:paraId="4BABC1C1" w14:textId="0298D163" w:rsidR="005428AC" w:rsidRDefault="00617C96" w:rsidP="00E34A19">
      <w:pPr>
        <w:spacing w:after="0"/>
        <w:jc w:val="both"/>
        <w:rPr>
          <w:rFonts w:ascii="Verdana" w:hAnsi="Verdana" w:cs="Calibri"/>
        </w:rPr>
      </w:pPr>
      <w:r>
        <w:rPr>
          <w:rFonts w:ascii="Verdana" w:hAnsi="Verdana" w:cs="Calibri"/>
        </w:rPr>
        <w:t>Ena od prvih nalog novega direktorja agencije je bila - poleg začetka delovanja eNakvis - temeljito proučevanje dela agencije in novih nalog</w:t>
      </w:r>
      <w:r w:rsidR="00DB7960">
        <w:rPr>
          <w:rFonts w:ascii="Verdana" w:hAnsi="Verdana" w:cs="Calibri"/>
        </w:rPr>
        <w:t xml:space="preserve"> na razvojnem, analitičnem in informacijskem področju</w:t>
      </w:r>
      <w:r>
        <w:rPr>
          <w:rFonts w:ascii="Verdana" w:hAnsi="Verdana" w:cs="Calibri"/>
        </w:rPr>
        <w:t xml:space="preserve"> ter na tej podlagi korenita sprememba organizacije dela; predvsem sektorja za kakovost. </w:t>
      </w:r>
      <w:r w:rsidR="00DB7960">
        <w:rPr>
          <w:rFonts w:ascii="Verdana" w:hAnsi="Verdana" w:cs="Calibri"/>
        </w:rPr>
        <w:t xml:space="preserve">Kot je razvidno iz uvoda k poročilu o delu in poslovanju, se je razdelil na dva sektorja; eden je ohranil svoje ime, drugi pa se je poimenoval sektor za analize, mednarodno sodelovanje in informatizacijo. </w:t>
      </w:r>
      <w:r w:rsidR="00FC4606">
        <w:rPr>
          <w:rFonts w:ascii="Verdana" w:hAnsi="Verdana" w:cs="Calibri"/>
        </w:rPr>
        <w:t>Stalne n</w:t>
      </w:r>
      <w:r w:rsidR="00DB7960">
        <w:rPr>
          <w:rFonts w:ascii="Verdana" w:hAnsi="Verdana" w:cs="Calibri"/>
        </w:rPr>
        <w:t xml:space="preserve">aloge vseh sektorjev so razvidne </w:t>
      </w:r>
      <w:r w:rsidR="00DB7960" w:rsidRPr="00FC4606">
        <w:rPr>
          <w:rFonts w:ascii="Verdana" w:hAnsi="Verdana" w:cs="Calibri"/>
        </w:rPr>
        <w:t xml:space="preserve">iz </w:t>
      </w:r>
      <w:r w:rsidR="001E7AA3" w:rsidRPr="00122A06">
        <w:rPr>
          <w:rFonts w:ascii="Verdana" w:hAnsi="Verdana" w:cs="Calibri"/>
        </w:rPr>
        <w:t xml:space="preserve">poglavja </w:t>
      </w:r>
      <w:r w:rsidR="00FC4606" w:rsidRPr="00122A06">
        <w:rPr>
          <w:rFonts w:ascii="Verdana" w:hAnsi="Verdana" w:cs="Calibri"/>
        </w:rPr>
        <w:t>I</w:t>
      </w:r>
      <w:r w:rsidR="00DB7960" w:rsidRPr="00122A06">
        <w:rPr>
          <w:rFonts w:ascii="Verdana" w:hAnsi="Verdana" w:cs="Calibri"/>
        </w:rPr>
        <w:t>.</w:t>
      </w:r>
      <w:r>
        <w:rPr>
          <w:rFonts w:ascii="Verdana" w:hAnsi="Verdana" w:cs="Calibri"/>
        </w:rPr>
        <w:t xml:space="preserve"> </w:t>
      </w:r>
    </w:p>
    <w:p w14:paraId="1734F995" w14:textId="77777777" w:rsidR="00DB7960" w:rsidRDefault="00DB7960" w:rsidP="00E34A19">
      <w:pPr>
        <w:spacing w:after="0"/>
        <w:jc w:val="both"/>
        <w:rPr>
          <w:rFonts w:ascii="Verdana" w:hAnsi="Verdana" w:cs="Calibri"/>
        </w:rPr>
      </w:pPr>
    </w:p>
    <w:p w14:paraId="66579541" w14:textId="29F4F73B" w:rsidR="00DB7960" w:rsidRDefault="00DB7960" w:rsidP="00E34A19">
      <w:pPr>
        <w:spacing w:after="0"/>
        <w:jc w:val="both"/>
        <w:rPr>
          <w:rFonts w:ascii="Verdana" w:hAnsi="Verdana" w:cs="Calibri"/>
        </w:rPr>
      </w:pPr>
      <w:r>
        <w:rPr>
          <w:rFonts w:ascii="Verdana" w:hAnsi="Verdana" w:cs="Calibri"/>
        </w:rPr>
        <w:t>Pri odločanju o tem, kateri delavci bodo delali v posameznem sektorju, so bile upoštevan</w:t>
      </w:r>
      <w:r w:rsidR="00FC4606">
        <w:rPr>
          <w:rFonts w:ascii="Verdana" w:hAnsi="Verdana" w:cs="Calibri"/>
        </w:rPr>
        <w:t>e</w:t>
      </w:r>
      <w:r>
        <w:rPr>
          <w:rFonts w:ascii="Verdana" w:hAnsi="Verdana" w:cs="Calibri"/>
        </w:rPr>
        <w:t xml:space="preserve"> tako njihove izkušnje pri preteklem delu kot tudi </w:t>
      </w:r>
      <w:r w:rsidR="008C3398">
        <w:rPr>
          <w:rFonts w:ascii="Verdana" w:hAnsi="Verdana" w:cs="Calibri"/>
        </w:rPr>
        <w:t xml:space="preserve">njihove sposobnosti in želje. </w:t>
      </w:r>
    </w:p>
    <w:p w14:paraId="4905CD6F" w14:textId="77777777" w:rsidR="00617C96" w:rsidRDefault="00617C96" w:rsidP="00E34A19">
      <w:pPr>
        <w:spacing w:after="0"/>
        <w:jc w:val="both"/>
        <w:rPr>
          <w:rFonts w:ascii="Verdana" w:hAnsi="Verdana" w:cs="Calibri"/>
        </w:rPr>
      </w:pPr>
    </w:p>
    <w:p w14:paraId="7EA6E799" w14:textId="77777777" w:rsidR="00E34A19" w:rsidRPr="00EE633E" w:rsidRDefault="00E34A19" w:rsidP="00E34A19">
      <w:pPr>
        <w:spacing w:after="0"/>
        <w:jc w:val="both"/>
        <w:rPr>
          <w:rFonts w:ascii="Verdana" w:hAnsi="Verdana" w:cs="Calibri"/>
        </w:rPr>
      </w:pPr>
      <w:r w:rsidRPr="00EE633E">
        <w:rPr>
          <w:rFonts w:ascii="Verdana" w:hAnsi="Verdana" w:cs="Calibri"/>
        </w:rPr>
        <w:t xml:space="preserve">Reorganizacija dela na agenciji je </w:t>
      </w:r>
      <w:r w:rsidR="000D23BE">
        <w:rPr>
          <w:rFonts w:ascii="Verdana" w:hAnsi="Verdana" w:cs="Calibri"/>
        </w:rPr>
        <w:t xml:space="preserve">bila </w:t>
      </w:r>
      <w:r w:rsidR="00DB7960" w:rsidRPr="00EE633E">
        <w:rPr>
          <w:rFonts w:ascii="Verdana" w:hAnsi="Verdana" w:cs="Calibri"/>
        </w:rPr>
        <w:t>vpeljana v drugi polovici leta 2018</w:t>
      </w:r>
      <w:r w:rsidR="00DB7960">
        <w:rPr>
          <w:rFonts w:ascii="Verdana" w:hAnsi="Verdana" w:cs="Calibri"/>
        </w:rPr>
        <w:t>. V</w:t>
      </w:r>
      <w:r w:rsidRPr="00EE633E">
        <w:rPr>
          <w:rFonts w:ascii="Verdana" w:hAnsi="Verdana" w:cs="Calibri"/>
        </w:rPr>
        <w:t xml:space="preserve"> kratkem obdobju </w:t>
      </w:r>
      <w:r w:rsidR="00DB7960">
        <w:rPr>
          <w:rFonts w:ascii="Verdana" w:hAnsi="Verdana" w:cs="Calibri"/>
        </w:rPr>
        <w:t>je že</w:t>
      </w:r>
      <w:r w:rsidRPr="00EE633E">
        <w:rPr>
          <w:rFonts w:ascii="Verdana" w:hAnsi="Verdana" w:cs="Calibri"/>
        </w:rPr>
        <w:t xml:space="preserve"> pokazala dobre rezultate. Omogočila je učinkovito in sprotno spremljanje vodenja akreditacijskih in evalvacijskih postopkov, opravljanja drugih stalnih nalog agencije ter nalog iz akcijskega načrta; prepoznavanje vzrokov za morebitne »zamude«,  pa tudi potreb po dodatnih nalogah. </w:t>
      </w:r>
    </w:p>
    <w:p w14:paraId="640FD556" w14:textId="77777777" w:rsidR="00E34A19" w:rsidRPr="00EE633E" w:rsidRDefault="00E34A19" w:rsidP="00E34A19">
      <w:pPr>
        <w:spacing w:after="0"/>
        <w:jc w:val="both"/>
        <w:rPr>
          <w:rFonts w:ascii="Verdana" w:hAnsi="Verdana" w:cs="Calibri"/>
        </w:rPr>
      </w:pPr>
    </w:p>
    <w:p w14:paraId="423F9CC0" w14:textId="1D98DB74" w:rsidR="00AE3A44" w:rsidRDefault="00AE3A44" w:rsidP="00AE3A44">
      <w:pPr>
        <w:rPr>
          <w:rFonts w:ascii="Verdana" w:hAnsi="Verdana"/>
          <w:b/>
        </w:rPr>
      </w:pPr>
      <w:r>
        <w:rPr>
          <w:rFonts w:ascii="Verdana" w:hAnsi="Verdana"/>
          <w:b/>
        </w:rPr>
        <w:t>Javni natečaj za direktorja agencije</w:t>
      </w:r>
    </w:p>
    <w:p w14:paraId="1D6D436D" w14:textId="13CDB613" w:rsidR="00AE3A44" w:rsidRPr="00EE633E" w:rsidRDefault="00AE3A44" w:rsidP="00AE3A44">
      <w:pPr>
        <w:spacing w:after="0"/>
        <w:jc w:val="both"/>
        <w:rPr>
          <w:rFonts w:ascii="Verdana" w:hAnsi="Verdana" w:cs="Calibri"/>
        </w:rPr>
      </w:pPr>
      <w:r w:rsidRPr="00830B3C">
        <w:rPr>
          <w:rFonts w:ascii="Verdana" w:hAnsi="Verdana"/>
        </w:rPr>
        <w:t xml:space="preserve">V začetku februarja </w:t>
      </w:r>
      <w:r w:rsidR="00FC4606">
        <w:rPr>
          <w:rFonts w:ascii="Verdana" w:hAnsi="Verdana"/>
        </w:rPr>
        <w:t xml:space="preserve">2018 </w:t>
      </w:r>
      <w:r w:rsidRPr="00830B3C">
        <w:rPr>
          <w:rFonts w:ascii="Verdana" w:hAnsi="Verdana"/>
        </w:rPr>
        <w:t xml:space="preserve">je </w:t>
      </w:r>
      <w:r>
        <w:rPr>
          <w:rFonts w:ascii="Verdana" w:hAnsi="Verdana"/>
        </w:rPr>
        <w:t>bil objavljen javni natečaj za direktorja agencije. Od 21. februarja do 15. marca, ko je bil direktor agencije</w:t>
      </w:r>
      <w:r w:rsidR="00FC4606">
        <w:rPr>
          <w:rFonts w:ascii="Verdana" w:hAnsi="Verdana"/>
        </w:rPr>
        <w:t xml:space="preserve"> imenovan</w:t>
      </w:r>
      <w:r>
        <w:rPr>
          <w:rFonts w:ascii="Verdana" w:hAnsi="Verdana"/>
        </w:rPr>
        <w:t>, je štirikrat zasedala natečajna komisija, ki jo je imenoval svet agencije, in dvakrat svet agencije</w:t>
      </w:r>
      <w:r w:rsidR="00C8682B">
        <w:rPr>
          <w:rFonts w:ascii="Verdana" w:hAnsi="Verdana"/>
        </w:rPr>
        <w:t>; slednji je imel še eno dopisno sejo</w:t>
      </w:r>
      <w:r>
        <w:rPr>
          <w:rFonts w:ascii="Verdana" w:hAnsi="Verdana"/>
        </w:rPr>
        <w:t>.</w:t>
      </w:r>
    </w:p>
    <w:p w14:paraId="03C05FA1" w14:textId="77777777" w:rsidR="00AE3A44" w:rsidRDefault="00AE3A44" w:rsidP="00AE3A44">
      <w:pPr>
        <w:spacing w:after="0"/>
        <w:jc w:val="both"/>
        <w:rPr>
          <w:rFonts w:ascii="Verdana" w:hAnsi="Verdana" w:cs="Calibri"/>
        </w:rPr>
      </w:pPr>
    </w:p>
    <w:p w14:paraId="4EE47805" w14:textId="6B444C24" w:rsidR="00FC4606" w:rsidRDefault="00FC4606" w:rsidP="00AE3A44">
      <w:pPr>
        <w:spacing w:after="0"/>
        <w:jc w:val="both"/>
        <w:rPr>
          <w:rFonts w:ascii="Verdana" w:hAnsi="Verdana" w:cs="Calibri"/>
          <w:b/>
        </w:rPr>
      </w:pPr>
      <w:r w:rsidRPr="00122A06">
        <w:rPr>
          <w:rFonts w:ascii="Verdana" w:hAnsi="Verdana" w:cs="Calibri"/>
          <w:b/>
        </w:rPr>
        <w:t>Merila agencije</w:t>
      </w:r>
    </w:p>
    <w:p w14:paraId="1CA3CABA" w14:textId="1C6F6C8C" w:rsidR="00FC4606" w:rsidRDefault="00FC4606" w:rsidP="00AE3A44">
      <w:pPr>
        <w:spacing w:after="0"/>
        <w:jc w:val="both"/>
        <w:rPr>
          <w:rFonts w:ascii="Verdana" w:hAnsi="Verdana" w:cs="Calibri"/>
        </w:rPr>
      </w:pPr>
      <w:r w:rsidRPr="00122A06">
        <w:rPr>
          <w:rFonts w:ascii="Verdana" w:hAnsi="Verdana" w:cs="Calibri"/>
        </w:rPr>
        <w:t xml:space="preserve">V prvi četrtini leta 2018 </w:t>
      </w:r>
      <w:r>
        <w:rPr>
          <w:rFonts w:ascii="Verdana" w:hAnsi="Verdana" w:cs="Calibri"/>
        </w:rPr>
        <w:t>je bilo pripravljenih in sprejetih dvoje meril. Nova Merila za strokovnjake agencije so natančneje določila splošne in posebne pogoje, ki jih morajo izpolnjevati kandidati za strokovnjake, in sicer za posamezne vrste akreditacij in evalvacij, postopek za izbiro, usposabljanje in ocenjevanje kandidatov, sestavo skupin strokovnjakov ter njihove obveznosti. Nova Merila za zunanjo evalvacijo višjih strokovnih šol pa so določila standarde kakovosti za presojo šol ter postopke v skladu z ZViS-K.</w:t>
      </w:r>
    </w:p>
    <w:p w14:paraId="22294362" w14:textId="77777777" w:rsidR="00FC4606" w:rsidRDefault="00FC4606" w:rsidP="00AE3A44">
      <w:pPr>
        <w:spacing w:after="0"/>
        <w:jc w:val="both"/>
        <w:rPr>
          <w:rFonts w:ascii="Verdana" w:hAnsi="Verdana" w:cs="Calibri"/>
        </w:rPr>
      </w:pPr>
    </w:p>
    <w:p w14:paraId="529D1C59" w14:textId="77777777" w:rsidR="00ED351D" w:rsidRDefault="00ED351D" w:rsidP="00AE3A44">
      <w:pPr>
        <w:rPr>
          <w:rFonts w:ascii="Verdana" w:hAnsi="Verdana"/>
          <w:b/>
        </w:rPr>
      </w:pPr>
    </w:p>
    <w:p w14:paraId="70556935" w14:textId="77777777" w:rsidR="00ED351D" w:rsidRDefault="00ED351D" w:rsidP="00AE3A44">
      <w:pPr>
        <w:rPr>
          <w:rFonts w:ascii="Verdana" w:hAnsi="Verdana"/>
          <w:b/>
        </w:rPr>
      </w:pPr>
    </w:p>
    <w:p w14:paraId="46548773" w14:textId="02832FDF" w:rsidR="00AE3A44" w:rsidRPr="00070227" w:rsidRDefault="00AE3A44" w:rsidP="00AE3A44">
      <w:pPr>
        <w:rPr>
          <w:rFonts w:ascii="Verdana" w:hAnsi="Verdana"/>
          <w:b/>
        </w:rPr>
      </w:pPr>
      <w:r w:rsidRPr="00070227">
        <w:rPr>
          <w:rFonts w:ascii="Verdana" w:hAnsi="Verdana"/>
          <w:b/>
        </w:rPr>
        <w:lastRenderedPageBreak/>
        <w:t>Splošni akti agencije</w:t>
      </w:r>
    </w:p>
    <w:p w14:paraId="33DD12C1" w14:textId="039DE26C" w:rsidR="00AE3A44" w:rsidRPr="00276644" w:rsidRDefault="00AE3A44" w:rsidP="00AE3A44">
      <w:pPr>
        <w:jc w:val="both"/>
        <w:rPr>
          <w:rFonts w:ascii="Verdana" w:hAnsi="Verdana"/>
        </w:rPr>
      </w:pPr>
      <w:r>
        <w:rPr>
          <w:rFonts w:ascii="Verdana" w:hAnsi="Verdana"/>
        </w:rPr>
        <w:t xml:space="preserve">V začetku marca sta začela veljati dva nova pravilnika. Novi Pravilnik o delovnem času je spremenil poslovni čas agencije, zaradi spremembe zakonodaje pa je bil pravilnik spremenjen še oktobra. Zaradi opozoril računskega sodišča je bil sprejet tudi Pravilnik o sklepanju pogodb v agenciji, ki je transparentno uredil postopek sklepanja novih pogodb z zunanjimi izvajalci. </w:t>
      </w:r>
    </w:p>
    <w:p w14:paraId="4E782EB7" w14:textId="77777777" w:rsidR="00E82A26" w:rsidRPr="00276644" w:rsidRDefault="00E82A26" w:rsidP="00F904E1">
      <w:pPr>
        <w:rPr>
          <w:rFonts w:ascii="Verdana" w:hAnsi="Verdana"/>
        </w:rPr>
      </w:pPr>
    </w:p>
    <w:p w14:paraId="73A50096" w14:textId="77777777" w:rsidR="00082164" w:rsidRPr="00F904E1" w:rsidRDefault="00167CAB" w:rsidP="00A83BF0">
      <w:pPr>
        <w:pStyle w:val="Naslov2"/>
      </w:pPr>
      <w:bookmarkStart w:id="19" w:name="_Toc2157289"/>
      <w:r>
        <w:t>IV.2</w:t>
      </w:r>
      <w:r w:rsidR="00F904E1" w:rsidRPr="00F904E1">
        <w:t xml:space="preserve"> PO</w:t>
      </w:r>
      <w:r w:rsidR="007110E3" w:rsidRPr="00F904E1">
        <w:t xml:space="preserve"> </w:t>
      </w:r>
      <w:r w:rsidR="00E82A26">
        <w:t xml:space="preserve">SPREJETJU </w:t>
      </w:r>
      <w:r w:rsidR="00F904E1">
        <w:t>LDN</w:t>
      </w:r>
      <w:r w:rsidR="007110E3" w:rsidRPr="00F904E1">
        <w:t xml:space="preserve"> 2018</w:t>
      </w:r>
      <w:bookmarkEnd w:id="19"/>
    </w:p>
    <w:p w14:paraId="1C148018" w14:textId="2DBFD02A" w:rsidR="00276644" w:rsidRPr="006E2B4C" w:rsidRDefault="00276644" w:rsidP="00D95DF5">
      <w:pPr>
        <w:spacing w:after="0"/>
        <w:jc w:val="both"/>
        <w:rPr>
          <w:rFonts w:ascii="Verdana" w:hAnsi="Verdana"/>
        </w:rPr>
      </w:pPr>
      <w:r>
        <w:rPr>
          <w:rFonts w:ascii="Verdana" w:hAnsi="Verdana"/>
        </w:rPr>
        <w:t>Hkrati z reorganizacijo dela agencije je nastajal LDN</w:t>
      </w:r>
      <w:r w:rsidR="00082164">
        <w:rPr>
          <w:rFonts w:ascii="Verdana" w:hAnsi="Verdana"/>
        </w:rPr>
        <w:t xml:space="preserve"> 201</w:t>
      </w:r>
      <w:r w:rsidR="007110E3">
        <w:rPr>
          <w:rFonts w:ascii="Verdana" w:hAnsi="Verdana"/>
        </w:rPr>
        <w:t>8</w:t>
      </w:r>
      <w:r w:rsidR="00082164">
        <w:rPr>
          <w:rFonts w:ascii="Verdana" w:hAnsi="Verdana"/>
        </w:rPr>
        <w:t xml:space="preserve">. </w:t>
      </w:r>
      <w:r w:rsidR="0016349C">
        <w:rPr>
          <w:rFonts w:ascii="Verdana" w:hAnsi="Verdana"/>
        </w:rPr>
        <w:t>Osrednja poglavja vsebujejo</w:t>
      </w:r>
      <w:r w:rsidR="00082164">
        <w:rPr>
          <w:rFonts w:ascii="Verdana" w:hAnsi="Verdana"/>
        </w:rPr>
        <w:t xml:space="preserve"> </w:t>
      </w:r>
      <w:r w:rsidR="00082164" w:rsidRPr="006E2B4C">
        <w:rPr>
          <w:rFonts w:ascii="Verdana" w:hAnsi="Verdana"/>
        </w:rPr>
        <w:t>preglednic</w:t>
      </w:r>
      <w:r w:rsidR="0016349C">
        <w:rPr>
          <w:rFonts w:ascii="Verdana" w:hAnsi="Verdana"/>
        </w:rPr>
        <w:t>e</w:t>
      </w:r>
      <w:r w:rsidR="00082164">
        <w:rPr>
          <w:rFonts w:ascii="Verdana" w:hAnsi="Verdana"/>
        </w:rPr>
        <w:t xml:space="preserve"> o predvidenih akreditacijah in evalvacijah, </w:t>
      </w:r>
      <w:r w:rsidR="00082164" w:rsidRPr="006E2B4C">
        <w:rPr>
          <w:rFonts w:ascii="Verdana" w:hAnsi="Verdana"/>
        </w:rPr>
        <w:t>akcijski načrt</w:t>
      </w:r>
      <w:r w:rsidR="00082164">
        <w:rPr>
          <w:rFonts w:ascii="Verdana" w:hAnsi="Verdana"/>
        </w:rPr>
        <w:t>, v katerem so prikazane</w:t>
      </w:r>
      <w:r w:rsidR="00082164" w:rsidRPr="006E2B4C">
        <w:rPr>
          <w:rFonts w:ascii="Verdana" w:hAnsi="Verdana"/>
        </w:rPr>
        <w:t xml:space="preserve"> nalog</w:t>
      </w:r>
      <w:r w:rsidR="00082164">
        <w:rPr>
          <w:rFonts w:ascii="Verdana" w:hAnsi="Verdana"/>
        </w:rPr>
        <w:t>e</w:t>
      </w:r>
      <w:r w:rsidR="00082164" w:rsidRPr="006E2B4C">
        <w:rPr>
          <w:rFonts w:ascii="Verdana" w:hAnsi="Verdana"/>
        </w:rPr>
        <w:t xml:space="preserve"> in roki do konca leta 201</w:t>
      </w:r>
      <w:r w:rsidR="00E82A26">
        <w:rPr>
          <w:rFonts w:ascii="Verdana" w:hAnsi="Verdana"/>
        </w:rPr>
        <w:t>8</w:t>
      </w:r>
      <w:r w:rsidR="00082164" w:rsidRPr="006E2B4C">
        <w:rPr>
          <w:rFonts w:ascii="Verdana" w:hAnsi="Verdana"/>
        </w:rPr>
        <w:t xml:space="preserve">, </w:t>
      </w:r>
      <w:r w:rsidR="00082164">
        <w:rPr>
          <w:rFonts w:ascii="Verdana" w:hAnsi="Verdana"/>
        </w:rPr>
        <w:t>načrt porabe</w:t>
      </w:r>
      <w:r w:rsidR="00082164" w:rsidRPr="006E2B4C">
        <w:rPr>
          <w:rFonts w:ascii="Verdana" w:hAnsi="Verdana"/>
        </w:rPr>
        <w:t xml:space="preserve"> razpoložljivih finančnih virov</w:t>
      </w:r>
      <w:r w:rsidR="00082164">
        <w:rPr>
          <w:rFonts w:ascii="Verdana" w:hAnsi="Verdana"/>
        </w:rPr>
        <w:t xml:space="preserve"> ter načrt izobraževanja in usposabljanja kadrov</w:t>
      </w:r>
      <w:r w:rsidR="00082164" w:rsidRPr="006E2B4C">
        <w:rPr>
          <w:rFonts w:ascii="Verdana" w:hAnsi="Verdana"/>
        </w:rPr>
        <w:t>.</w:t>
      </w:r>
      <w:r w:rsidR="00D95DF5">
        <w:rPr>
          <w:rFonts w:ascii="Verdana" w:hAnsi="Verdana"/>
        </w:rPr>
        <w:t xml:space="preserve"> </w:t>
      </w:r>
      <w:r w:rsidR="0016349C">
        <w:rPr>
          <w:rFonts w:ascii="Verdana" w:hAnsi="Verdana"/>
        </w:rPr>
        <w:t xml:space="preserve">Po tem vrstnem redu </w:t>
      </w:r>
      <w:r w:rsidR="0016349C" w:rsidRPr="003000AF">
        <w:rPr>
          <w:rFonts w:ascii="Verdana" w:hAnsi="Verdana"/>
        </w:rPr>
        <w:t xml:space="preserve">je </w:t>
      </w:r>
      <w:r w:rsidR="00D95DF5" w:rsidRPr="003000AF">
        <w:rPr>
          <w:rFonts w:ascii="Verdana" w:hAnsi="Verdana"/>
        </w:rPr>
        <w:t xml:space="preserve">- </w:t>
      </w:r>
      <w:r w:rsidR="00D95DF5" w:rsidRPr="00FF0B53">
        <w:rPr>
          <w:rFonts w:ascii="Verdana" w:hAnsi="Verdana"/>
        </w:rPr>
        <w:t xml:space="preserve">razen </w:t>
      </w:r>
      <w:r w:rsidR="007D2526" w:rsidRPr="00FF0B53">
        <w:rPr>
          <w:rFonts w:ascii="Verdana" w:hAnsi="Verdana"/>
        </w:rPr>
        <w:t xml:space="preserve">poglavja III </w:t>
      </w:r>
      <w:r w:rsidR="00224840" w:rsidRPr="00FF0B53">
        <w:rPr>
          <w:rFonts w:ascii="Verdana" w:hAnsi="Verdana"/>
        </w:rPr>
        <w:t>na strani 1</w:t>
      </w:r>
      <w:r w:rsidR="003000AF" w:rsidRPr="00FF0B53">
        <w:rPr>
          <w:rFonts w:ascii="Verdana" w:hAnsi="Verdana"/>
        </w:rPr>
        <w:t>6</w:t>
      </w:r>
      <w:r w:rsidR="00224840" w:rsidRPr="00FF0B53">
        <w:rPr>
          <w:rFonts w:ascii="Verdana" w:hAnsi="Verdana"/>
        </w:rPr>
        <w:t xml:space="preserve">, v katerem je pregled </w:t>
      </w:r>
      <w:r w:rsidR="00D95DF5" w:rsidRPr="00FF0B53">
        <w:rPr>
          <w:rFonts w:ascii="Verdana" w:hAnsi="Verdana"/>
        </w:rPr>
        <w:t>akreditacij in evalvacij</w:t>
      </w:r>
      <w:r w:rsidR="00A83BF0" w:rsidRPr="00FF0B53">
        <w:rPr>
          <w:rFonts w:ascii="Verdana" w:hAnsi="Verdana"/>
        </w:rPr>
        <w:t xml:space="preserve"> </w:t>
      </w:r>
      <w:r w:rsidR="00F31295" w:rsidRPr="00FF0B53">
        <w:rPr>
          <w:rFonts w:ascii="Verdana" w:hAnsi="Verdana"/>
        </w:rPr>
        <w:t xml:space="preserve">v preteklem letu </w:t>
      </w:r>
      <w:r w:rsidR="00D95DF5" w:rsidRPr="003000AF">
        <w:rPr>
          <w:rFonts w:ascii="Verdana" w:hAnsi="Verdana"/>
        </w:rPr>
        <w:t xml:space="preserve"> - v</w:t>
      </w:r>
      <w:r w:rsidR="00D95DF5">
        <w:rPr>
          <w:rFonts w:ascii="Verdana" w:hAnsi="Verdana"/>
        </w:rPr>
        <w:t xml:space="preserve"> nadaljevanju </w:t>
      </w:r>
      <w:r w:rsidR="0016349C">
        <w:rPr>
          <w:rFonts w:ascii="Verdana" w:hAnsi="Verdana"/>
        </w:rPr>
        <w:t>prikazano</w:t>
      </w:r>
      <w:r>
        <w:rPr>
          <w:rFonts w:ascii="Verdana" w:hAnsi="Verdana"/>
        </w:rPr>
        <w:t xml:space="preserve"> tudi uresničevanje nalog iz LDN 2018.</w:t>
      </w:r>
    </w:p>
    <w:p w14:paraId="6E89FCBC" w14:textId="77777777" w:rsidR="003000AF" w:rsidRDefault="003000AF" w:rsidP="004653E1">
      <w:pPr>
        <w:spacing w:after="0"/>
        <w:jc w:val="both"/>
        <w:rPr>
          <w:rFonts w:ascii="Verdana" w:hAnsi="Verdana"/>
          <w:u w:val="single"/>
        </w:rPr>
      </w:pPr>
    </w:p>
    <w:p w14:paraId="091CF4A2" w14:textId="5705B305" w:rsidR="00D95DF5" w:rsidRPr="00A83BF0" w:rsidRDefault="00167CAB" w:rsidP="001E7AA3">
      <w:pPr>
        <w:pStyle w:val="Naslov"/>
        <w:jc w:val="left"/>
        <w:rPr>
          <w:rStyle w:val="Neenpoudarek"/>
        </w:rPr>
      </w:pPr>
      <w:bookmarkStart w:id="20" w:name="_Toc2157290"/>
      <w:r>
        <w:rPr>
          <w:rStyle w:val="Neenpoudarek"/>
        </w:rPr>
        <w:t>IV.2.1</w:t>
      </w:r>
      <w:r w:rsidR="00E314E4">
        <w:rPr>
          <w:rStyle w:val="Neenpoudarek"/>
        </w:rPr>
        <w:t xml:space="preserve"> </w:t>
      </w:r>
      <w:r w:rsidR="00A83BF0" w:rsidRPr="00A83BF0">
        <w:rPr>
          <w:rStyle w:val="Neenpoudarek"/>
        </w:rPr>
        <w:t>URESNIČEVANJE</w:t>
      </w:r>
      <w:r w:rsidR="001E7AA3" w:rsidRPr="00A83BF0">
        <w:rPr>
          <w:rStyle w:val="Neenpoudarek"/>
        </w:rPr>
        <w:t xml:space="preserve"> AKCIJSKE</w:t>
      </w:r>
      <w:r w:rsidR="00A83BF0" w:rsidRPr="00A83BF0">
        <w:rPr>
          <w:rStyle w:val="Neenpoudarek"/>
        </w:rPr>
        <w:t>GA</w:t>
      </w:r>
      <w:r w:rsidR="001E7AA3" w:rsidRPr="00A83BF0">
        <w:rPr>
          <w:rStyle w:val="Neenpoudarek"/>
        </w:rPr>
        <w:t xml:space="preserve"> NAČRT</w:t>
      </w:r>
      <w:r w:rsidR="00A83BF0" w:rsidRPr="00A83BF0">
        <w:rPr>
          <w:rStyle w:val="Neenpoudarek"/>
        </w:rPr>
        <w:t>A</w:t>
      </w:r>
      <w:r w:rsidR="001E7AA3" w:rsidRPr="00A83BF0">
        <w:rPr>
          <w:rStyle w:val="Neenpoudarek"/>
        </w:rPr>
        <w:t xml:space="preserve"> 2018</w:t>
      </w:r>
      <w:bookmarkEnd w:id="20"/>
    </w:p>
    <w:p w14:paraId="36E1A991" w14:textId="77777777" w:rsidR="00D95DF5" w:rsidRDefault="00D95DF5" w:rsidP="004653E1">
      <w:pPr>
        <w:spacing w:after="0"/>
        <w:jc w:val="both"/>
        <w:rPr>
          <w:rFonts w:ascii="Verdana" w:hAnsi="Verdana"/>
          <w:u w:val="single"/>
        </w:rPr>
      </w:pPr>
    </w:p>
    <w:p w14:paraId="0A32FACB" w14:textId="77777777" w:rsidR="004653E1" w:rsidRPr="00F06660" w:rsidRDefault="004653E1" w:rsidP="004653E1">
      <w:pPr>
        <w:spacing w:after="0"/>
        <w:jc w:val="both"/>
        <w:rPr>
          <w:rFonts w:ascii="Verdana" w:hAnsi="Verdana"/>
        </w:rPr>
      </w:pPr>
      <w:r w:rsidRPr="00F06660">
        <w:rPr>
          <w:rFonts w:ascii="Verdana" w:hAnsi="Verdana"/>
        </w:rPr>
        <w:t>Naloge v akcijskem načrtu so opredeljene oziroma določene ob upoštevanju:</w:t>
      </w:r>
    </w:p>
    <w:p w14:paraId="60CBEC6D" w14:textId="77777777" w:rsidR="004653E1" w:rsidRPr="00F06660" w:rsidRDefault="004653E1" w:rsidP="004653E1">
      <w:pPr>
        <w:spacing w:after="0"/>
        <w:jc w:val="both"/>
        <w:rPr>
          <w:rFonts w:ascii="Verdana" w:hAnsi="Verdana"/>
        </w:rPr>
      </w:pPr>
    </w:p>
    <w:p w14:paraId="0A39F1A9" w14:textId="77777777" w:rsidR="004653E1" w:rsidRPr="00F06660" w:rsidRDefault="004653E1" w:rsidP="004653E1">
      <w:pPr>
        <w:spacing w:after="0"/>
        <w:jc w:val="both"/>
        <w:rPr>
          <w:rFonts w:ascii="Verdana" w:hAnsi="Verdana"/>
        </w:rPr>
      </w:pPr>
      <w:r w:rsidRPr="00F06660">
        <w:rPr>
          <w:rFonts w:ascii="Verdana" w:hAnsi="Verdana"/>
        </w:rPr>
        <w:t xml:space="preserve">A) </w:t>
      </w:r>
      <w:r w:rsidRPr="00F06660">
        <w:rPr>
          <w:rFonts w:ascii="Verdana" w:hAnsi="Verdana"/>
          <w:b/>
        </w:rPr>
        <w:t>strateških ciljev agencije</w:t>
      </w:r>
      <w:r w:rsidR="00907327" w:rsidRPr="00F06660">
        <w:rPr>
          <w:rFonts w:ascii="Verdana" w:hAnsi="Verdana"/>
        </w:rPr>
        <w:t xml:space="preserve"> od leta 2017 do leta 2020:</w:t>
      </w:r>
    </w:p>
    <w:p w14:paraId="6BF88E9F" w14:textId="77777777" w:rsidR="00907327" w:rsidRPr="00F06660" w:rsidRDefault="00907327" w:rsidP="004653E1">
      <w:pPr>
        <w:spacing w:after="0"/>
        <w:jc w:val="both"/>
        <w:rPr>
          <w:rFonts w:ascii="Verdana" w:hAnsi="Verdana"/>
        </w:rPr>
      </w:pPr>
    </w:p>
    <w:p w14:paraId="39846CBD" w14:textId="77777777" w:rsidR="004653E1" w:rsidRPr="00F06660" w:rsidRDefault="004653E1" w:rsidP="004653E1">
      <w:pPr>
        <w:pStyle w:val="Odstavekseznama"/>
        <w:numPr>
          <w:ilvl w:val="0"/>
          <w:numId w:val="10"/>
        </w:numPr>
        <w:spacing w:after="0" w:line="240" w:lineRule="auto"/>
        <w:jc w:val="both"/>
        <w:rPr>
          <w:rFonts w:ascii="Verdana" w:hAnsi="Verdana"/>
        </w:rPr>
      </w:pPr>
      <w:r w:rsidRPr="00F06660">
        <w:rPr>
          <w:rFonts w:ascii="Verdana" w:hAnsi="Verdana"/>
        </w:rPr>
        <w:t>izboljšanje strokovnega dela agencije</w:t>
      </w:r>
    </w:p>
    <w:p w14:paraId="284C559E" w14:textId="77777777" w:rsidR="004653E1" w:rsidRPr="00F06660" w:rsidRDefault="004653E1" w:rsidP="004653E1">
      <w:pPr>
        <w:pStyle w:val="Odstavekseznama"/>
        <w:numPr>
          <w:ilvl w:val="0"/>
          <w:numId w:val="10"/>
        </w:numPr>
        <w:spacing w:after="0" w:line="240" w:lineRule="auto"/>
        <w:jc w:val="both"/>
        <w:rPr>
          <w:rFonts w:ascii="Verdana" w:hAnsi="Verdana"/>
        </w:rPr>
      </w:pPr>
      <w:r w:rsidRPr="00F06660">
        <w:rPr>
          <w:rFonts w:ascii="Verdana" w:hAnsi="Verdana"/>
        </w:rPr>
        <w:t>krepitev neodvisnosti in avtoritete agencije</w:t>
      </w:r>
    </w:p>
    <w:p w14:paraId="137D68C4" w14:textId="77777777" w:rsidR="004653E1" w:rsidRPr="00F06660" w:rsidRDefault="004653E1" w:rsidP="004653E1">
      <w:pPr>
        <w:pStyle w:val="Odstavekseznama"/>
        <w:numPr>
          <w:ilvl w:val="0"/>
          <w:numId w:val="10"/>
        </w:numPr>
        <w:spacing w:after="0" w:line="240" w:lineRule="auto"/>
        <w:jc w:val="both"/>
        <w:rPr>
          <w:rFonts w:ascii="Verdana" w:hAnsi="Verdana"/>
        </w:rPr>
      </w:pPr>
      <w:r w:rsidRPr="00F06660">
        <w:rPr>
          <w:rFonts w:ascii="Verdana" w:hAnsi="Verdana"/>
        </w:rPr>
        <w:t>krepitev kulture kakovosti</w:t>
      </w:r>
    </w:p>
    <w:p w14:paraId="4D28DCED" w14:textId="77777777" w:rsidR="004653E1" w:rsidRPr="00F06660" w:rsidRDefault="004653E1" w:rsidP="004653E1">
      <w:pPr>
        <w:pStyle w:val="Odstavekseznama"/>
        <w:numPr>
          <w:ilvl w:val="0"/>
          <w:numId w:val="10"/>
        </w:numPr>
        <w:spacing w:after="0" w:line="240" w:lineRule="auto"/>
        <w:jc w:val="both"/>
        <w:rPr>
          <w:rFonts w:ascii="Verdana" w:hAnsi="Verdana"/>
        </w:rPr>
      </w:pPr>
      <w:r w:rsidRPr="00F06660">
        <w:rPr>
          <w:rFonts w:ascii="Verdana" w:hAnsi="Verdana"/>
        </w:rPr>
        <w:t>prenova meril in drugih aktov agencije</w:t>
      </w:r>
    </w:p>
    <w:p w14:paraId="33B05301" w14:textId="77777777" w:rsidR="004653E1" w:rsidRPr="00F06660" w:rsidRDefault="004653E1" w:rsidP="004653E1">
      <w:pPr>
        <w:pStyle w:val="Odstavekseznama"/>
        <w:numPr>
          <w:ilvl w:val="0"/>
          <w:numId w:val="10"/>
        </w:numPr>
        <w:spacing w:after="0" w:line="240" w:lineRule="auto"/>
        <w:jc w:val="both"/>
        <w:rPr>
          <w:rFonts w:ascii="Verdana" w:hAnsi="Verdana"/>
        </w:rPr>
      </w:pPr>
      <w:r w:rsidRPr="00F06660">
        <w:rPr>
          <w:rFonts w:ascii="Verdana" w:hAnsi="Verdana"/>
        </w:rPr>
        <w:t>vzpostavitev učinkovitega in uporabnikom prijaznega informacijskega sistema agencije</w:t>
      </w:r>
    </w:p>
    <w:p w14:paraId="0E6D1E37" w14:textId="77777777" w:rsidR="004653E1" w:rsidRPr="00F06660" w:rsidRDefault="004653E1" w:rsidP="004653E1">
      <w:pPr>
        <w:pStyle w:val="Odstavekseznama"/>
        <w:numPr>
          <w:ilvl w:val="0"/>
          <w:numId w:val="10"/>
        </w:numPr>
        <w:spacing w:after="0" w:line="240" w:lineRule="auto"/>
        <w:jc w:val="both"/>
        <w:rPr>
          <w:rFonts w:ascii="Verdana" w:hAnsi="Verdana"/>
        </w:rPr>
      </w:pPr>
      <w:r w:rsidRPr="00F06660">
        <w:rPr>
          <w:rFonts w:ascii="Verdana" w:hAnsi="Verdana"/>
        </w:rPr>
        <w:t>podaljšanje članstva v ENQA in EQAR ter krepitev mednarodnega sodelovanja agencije</w:t>
      </w:r>
    </w:p>
    <w:p w14:paraId="0B2CD716" w14:textId="77777777" w:rsidR="004653E1" w:rsidRPr="00F06660" w:rsidRDefault="004653E1" w:rsidP="004653E1">
      <w:pPr>
        <w:pStyle w:val="Odstavekseznama"/>
        <w:numPr>
          <w:ilvl w:val="0"/>
          <w:numId w:val="10"/>
        </w:numPr>
        <w:spacing w:after="0" w:line="240" w:lineRule="auto"/>
        <w:jc w:val="both"/>
        <w:rPr>
          <w:rFonts w:ascii="Verdana" w:hAnsi="Verdana"/>
        </w:rPr>
      </w:pPr>
      <w:r w:rsidRPr="00F06660">
        <w:rPr>
          <w:rFonts w:ascii="Verdana" w:hAnsi="Verdana"/>
        </w:rPr>
        <w:t>reorganizacija dela agencije</w:t>
      </w:r>
    </w:p>
    <w:p w14:paraId="524415D2" w14:textId="77777777" w:rsidR="004653E1" w:rsidRPr="00F06660" w:rsidRDefault="004653E1" w:rsidP="004653E1">
      <w:pPr>
        <w:pStyle w:val="Odstavekseznama"/>
        <w:numPr>
          <w:ilvl w:val="0"/>
          <w:numId w:val="10"/>
        </w:numPr>
        <w:spacing w:after="0" w:line="240" w:lineRule="auto"/>
        <w:jc w:val="both"/>
        <w:rPr>
          <w:rFonts w:ascii="Verdana" w:hAnsi="Verdana"/>
        </w:rPr>
      </w:pPr>
      <w:r w:rsidRPr="00F06660">
        <w:rPr>
          <w:rFonts w:ascii="Verdana" w:hAnsi="Verdana"/>
        </w:rPr>
        <w:t>razvojno delo</w:t>
      </w:r>
    </w:p>
    <w:p w14:paraId="19060749" w14:textId="77777777" w:rsidR="004653E1" w:rsidRPr="00F06660" w:rsidRDefault="004653E1" w:rsidP="004653E1">
      <w:pPr>
        <w:spacing w:after="0"/>
        <w:jc w:val="both"/>
        <w:rPr>
          <w:rFonts w:ascii="Verdana" w:hAnsi="Verdana"/>
        </w:rPr>
      </w:pPr>
    </w:p>
    <w:p w14:paraId="175247E0" w14:textId="77777777" w:rsidR="004653E1" w:rsidRPr="00F06660" w:rsidRDefault="004653E1" w:rsidP="004653E1">
      <w:pPr>
        <w:jc w:val="both"/>
        <w:rPr>
          <w:rFonts w:ascii="Verdana" w:eastAsia="Times New Roman" w:hAnsi="Verdana"/>
          <w:color w:val="000000"/>
        </w:rPr>
      </w:pPr>
      <w:r w:rsidRPr="00F06660">
        <w:rPr>
          <w:rFonts w:ascii="Verdana" w:eastAsia="Times New Roman" w:hAnsi="Verdana"/>
          <w:color w:val="000000"/>
        </w:rPr>
        <w:t>B)</w:t>
      </w:r>
      <w:r w:rsidRPr="00F06660">
        <w:rPr>
          <w:rFonts w:ascii="Verdana" w:eastAsia="Times New Roman" w:hAnsi="Verdana"/>
          <w:b/>
          <w:color w:val="000000"/>
        </w:rPr>
        <w:t xml:space="preserve"> področij presoje </w:t>
      </w:r>
      <w:r w:rsidRPr="00F06660">
        <w:rPr>
          <w:rFonts w:ascii="Verdana" w:eastAsia="Times New Roman" w:hAnsi="Verdana"/>
          <w:color w:val="000000"/>
        </w:rPr>
        <w:t>po poslovniku kakovosti:</w:t>
      </w:r>
    </w:p>
    <w:p w14:paraId="4A9C135F" w14:textId="77777777" w:rsidR="004653E1" w:rsidRPr="00F06660" w:rsidRDefault="004653E1" w:rsidP="004653E1">
      <w:pPr>
        <w:pStyle w:val="Odstavekseznama"/>
        <w:numPr>
          <w:ilvl w:val="0"/>
          <w:numId w:val="9"/>
        </w:numPr>
        <w:spacing w:after="160" w:line="259" w:lineRule="auto"/>
        <w:jc w:val="both"/>
        <w:rPr>
          <w:rFonts w:ascii="Verdana" w:hAnsi="Verdana"/>
        </w:rPr>
      </w:pPr>
      <w:r w:rsidRPr="00F06660">
        <w:rPr>
          <w:rFonts w:ascii="Verdana" w:hAnsi="Verdana"/>
        </w:rPr>
        <w:t xml:space="preserve">akreditacije in zunanje evalvacije </w:t>
      </w:r>
    </w:p>
    <w:p w14:paraId="60A009CA" w14:textId="77777777" w:rsidR="004653E1" w:rsidRPr="00F06660" w:rsidRDefault="004653E1" w:rsidP="004653E1">
      <w:pPr>
        <w:pStyle w:val="Odstavekseznama"/>
        <w:numPr>
          <w:ilvl w:val="0"/>
          <w:numId w:val="9"/>
        </w:numPr>
        <w:spacing w:after="160" w:line="259" w:lineRule="auto"/>
        <w:jc w:val="both"/>
        <w:rPr>
          <w:rFonts w:ascii="Verdana" w:hAnsi="Verdana"/>
        </w:rPr>
      </w:pPr>
      <w:r w:rsidRPr="00F06660">
        <w:rPr>
          <w:rFonts w:ascii="Verdana" w:hAnsi="Verdana"/>
        </w:rPr>
        <w:t xml:space="preserve">notranji sistem kakovosti agencije </w:t>
      </w:r>
    </w:p>
    <w:p w14:paraId="76A461E5" w14:textId="77777777" w:rsidR="004653E1" w:rsidRPr="00F06660" w:rsidRDefault="004653E1" w:rsidP="004653E1">
      <w:pPr>
        <w:pStyle w:val="Odstavekseznama"/>
        <w:numPr>
          <w:ilvl w:val="0"/>
          <w:numId w:val="9"/>
        </w:numPr>
        <w:spacing w:after="160" w:line="259" w:lineRule="auto"/>
        <w:jc w:val="both"/>
        <w:rPr>
          <w:rFonts w:ascii="Verdana" w:hAnsi="Verdana"/>
        </w:rPr>
      </w:pPr>
      <w:r w:rsidRPr="00F06660">
        <w:rPr>
          <w:rFonts w:ascii="Verdana" w:hAnsi="Verdana"/>
        </w:rPr>
        <w:t xml:space="preserve">zunanji sistem kakovosti agencije </w:t>
      </w:r>
    </w:p>
    <w:p w14:paraId="1B4C9464" w14:textId="77777777" w:rsidR="004653E1" w:rsidRPr="00F06660" w:rsidRDefault="004653E1" w:rsidP="004653E1">
      <w:pPr>
        <w:pStyle w:val="Odstavekseznama"/>
        <w:numPr>
          <w:ilvl w:val="0"/>
          <w:numId w:val="9"/>
        </w:numPr>
        <w:spacing w:after="160" w:line="259" w:lineRule="auto"/>
        <w:jc w:val="both"/>
        <w:rPr>
          <w:rFonts w:ascii="Verdana" w:hAnsi="Verdana"/>
        </w:rPr>
      </w:pPr>
      <w:r w:rsidRPr="00F06660">
        <w:rPr>
          <w:rFonts w:ascii="Verdana" w:hAnsi="Verdana"/>
        </w:rPr>
        <w:t xml:space="preserve">merila in drugi predpisi agencije  </w:t>
      </w:r>
    </w:p>
    <w:p w14:paraId="63E58017" w14:textId="77777777" w:rsidR="004653E1" w:rsidRPr="00F06660" w:rsidRDefault="004653E1" w:rsidP="004653E1">
      <w:pPr>
        <w:pStyle w:val="Odstavekseznama"/>
        <w:numPr>
          <w:ilvl w:val="0"/>
          <w:numId w:val="9"/>
        </w:numPr>
        <w:spacing w:after="160" w:line="259" w:lineRule="auto"/>
        <w:jc w:val="both"/>
        <w:rPr>
          <w:rFonts w:ascii="Verdana" w:hAnsi="Verdana"/>
        </w:rPr>
      </w:pPr>
      <w:r w:rsidRPr="00F06660">
        <w:rPr>
          <w:rFonts w:ascii="Verdana" w:hAnsi="Verdana"/>
        </w:rPr>
        <w:t>informacijski sistem in obveščanje</w:t>
      </w:r>
    </w:p>
    <w:p w14:paraId="766FE24C" w14:textId="77777777" w:rsidR="004653E1" w:rsidRPr="00F06660" w:rsidRDefault="004653E1" w:rsidP="004653E1">
      <w:pPr>
        <w:spacing w:after="0"/>
        <w:jc w:val="both"/>
        <w:rPr>
          <w:rFonts w:ascii="Verdana" w:hAnsi="Verdana"/>
        </w:rPr>
      </w:pPr>
    </w:p>
    <w:p w14:paraId="3D4965AF" w14:textId="77777777" w:rsidR="004653E1" w:rsidRPr="00F06660" w:rsidRDefault="004653E1" w:rsidP="004653E1">
      <w:pPr>
        <w:jc w:val="both"/>
        <w:rPr>
          <w:rFonts w:ascii="Verdana" w:eastAsia="Times New Roman" w:hAnsi="Verdana"/>
          <w:b/>
          <w:color w:val="000000"/>
        </w:rPr>
      </w:pPr>
      <w:r w:rsidRPr="00F06660">
        <w:rPr>
          <w:rFonts w:ascii="Verdana" w:eastAsia="Times New Roman" w:hAnsi="Verdana"/>
          <w:color w:val="000000"/>
        </w:rPr>
        <w:t>C)</w:t>
      </w:r>
      <w:r w:rsidRPr="00F06660">
        <w:rPr>
          <w:rFonts w:ascii="Verdana" w:eastAsia="Times New Roman" w:hAnsi="Verdana"/>
          <w:b/>
          <w:color w:val="000000"/>
        </w:rPr>
        <w:t xml:space="preserve"> vrednot agencije</w:t>
      </w:r>
      <w:r w:rsidRPr="00F06660">
        <w:rPr>
          <w:rFonts w:ascii="Verdana" w:eastAsia="Times New Roman" w:hAnsi="Verdana"/>
          <w:color w:val="000000"/>
        </w:rPr>
        <w:t>:</w:t>
      </w:r>
    </w:p>
    <w:p w14:paraId="43CECFF4" w14:textId="77777777" w:rsidR="004653E1" w:rsidRPr="00F06660" w:rsidRDefault="004653E1" w:rsidP="004653E1">
      <w:pPr>
        <w:pStyle w:val="Odstavekseznama"/>
        <w:numPr>
          <w:ilvl w:val="0"/>
          <w:numId w:val="11"/>
        </w:numPr>
        <w:spacing w:after="0" w:line="240" w:lineRule="auto"/>
        <w:jc w:val="both"/>
        <w:rPr>
          <w:rFonts w:ascii="Verdana" w:eastAsia="Times New Roman" w:hAnsi="Verdana"/>
          <w:color w:val="000000"/>
        </w:rPr>
      </w:pPr>
      <w:r w:rsidRPr="00F06660">
        <w:rPr>
          <w:rFonts w:ascii="Verdana" w:eastAsia="Times New Roman" w:hAnsi="Verdana"/>
          <w:color w:val="000000"/>
        </w:rPr>
        <w:t>neodvisnost, odgovornost, strokovnost, učinkovitost</w:t>
      </w:r>
    </w:p>
    <w:p w14:paraId="700C9443" w14:textId="77777777" w:rsidR="004653E1" w:rsidRPr="00F06660" w:rsidRDefault="004653E1" w:rsidP="004653E1">
      <w:pPr>
        <w:pStyle w:val="Odstavekseznama"/>
        <w:numPr>
          <w:ilvl w:val="0"/>
          <w:numId w:val="11"/>
        </w:numPr>
        <w:spacing w:after="0" w:line="240" w:lineRule="auto"/>
        <w:jc w:val="both"/>
        <w:rPr>
          <w:rFonts w:ascii="Verdana" w:eastAsia="Times New Roman" w:hAnsi="Verdana"/>
          <w:color w:val="000000"/>
        </w:rPr>
      </w:pPr>
      <w:r w:rsidRPr="00F06660">
        <w:rPr>
          <w:rFonts w:ascii="Verdana" w:eastAsia="Times New Roman" w:hAnsi="Verdana"/>
          <w:color w:val="000000"/>
        </w:rPr>
        <w:t>javnost in transparentnost</w:t>
      </w:r>
    </w:p>
    <w:p w14:paraId="2DA0B944" w14:textId="77777777" w:rsidR="004653E1" w:rsidRPr="00F06660" w:rsidRDefault="004653E1" w:rsidP="004653E1">
      <w:pPr>
        <w:pStyle w:val="Odstavekseznama"/>
        <w:numPr>
          <w:ilvl w:val="0"/>
          <w:numId w:val="11"/>
        </w:numPr>
        <w:spacing w:after="0" w:line="240" w:lineRule="auto"/>
        <w:jc w:val="both"/>
        <w:rPr>
          <w:rFonts w:ascii="Verdana" w:eastAsia="Times New Roman" w:hAnsi="Verdana"/>
          <w:color w:val="000000"/>
        </w:rPr>
      </w:pPr>
      <w:r w:rsidRPr="00F06660">
        <w:rPr>
          <w:rFonts w:ascii="Verdana" w:eastAsia="Times New Roman" w:hAnsi="Verdana"/>
          <w:color w:val="000000"/>
        </w:rPr>
        <w:t>zavezanost k napredku</w:t>
      </w:r>
    </w:p>
    <w:p w14:paraId="09F020FA" w14:textId="77777777" w:rsidR="004653E1" w:rsidRPr="00F06660" w:rsidRDefault="004653E1" w:rsidP="004653E1">
      <w:pPr>
        <w:pStyle w:val="Odstavekseznama"/>
        <w:spacing w:after="0" w:line="240" w:lineRule="auto"/>
        <w:jc w:val="both"/>
        <w:rPr>
          <w:rFonts w:ascii="Verdana" w:eastAsia="Times New Roman" w:hAnsi="Verdana"/>
          <w:color w:val="000000"/>
        </w:rPr>
      </w:pPr>
    </w:p>
    <w:p w14:paraId="5C2DBDEE" w14:textId="77777777" w:rsidR="004653E1" w:rsidRPr="00F06660" w:rsidRDefault="004653E1" w:rsidP="004653E1">
      <w:pPr>
        <w:spacing w:after="0"/>
        <w:jc w:val="both"/>
        <w:rPr>
          <w:rFonts w:ascii="Verdana" w:hAnsi="Verdana"/>
        </w:rPr>
      </w:pPr>
      <w:r w:rsidRPr="00F06660">
        <w:rPr>
          <w:rFonts w:ascii="Verdana" w:hAnsi="Verdana"/>
        </w:rPr>
        <w:t xml:space="preserve">V zadnjih treh stolpcih akcijskega načrta je označena povezava posameznih nalog s cilji, področji presoje oziroma vrednotami; z veliko začetnico pred posamezno skupino (za strateške cilje je to črka A, za področja presoje B, za vrednote pa C) ter malo črko, s katero je označen konkretni cilj, področje ali vrednota. S tem </w:t>
      </w:r>
      <w:r w:rsidR="00907327" w:rsidRPr="00F06660">
        <w:rPr>
          <w:rFonts w:ascii="Verdana" w:hAnsi="Verdana"/>
        </w:rPr>
        <w:t>je</w:t>
      </w:r>
      <w:r w:rsidRPr="00F06660">
        <w:rPr>
          <w:rFonts w:ascii="Verdana" w:hAnsi="Verdana"/>
        </w:rPr>
        <w:t xml:space="preserve"> omogočen jasen vpogled v uresničevanje nalog agencije po področjih presoje iz poslovnika kakovosti in povezava njenega dela s cilji in vrednotami, ki si jih je postavila.</w:t>
      </w:r>
    </w:p>
    <w:p w14:paraId="61DC4C9E" w14:textId="77777777" w:rsidR="004653E1" w:rsidRPr="00F06660" w:rsidRDefault="004653E1" w:rsidP="004653E1">
      <w:pPr>
        <w:spacing w:after="0"/>
        <w:rPr>
          <w:rFonts w:ascii="Verdana" w:hAnsi="Verdana"/>
        </w:rPr>
      </w:pPr>
    </w:p>
    <w:p w14:paraId="5B743E96" w14:textId="77777777" w:rsidR="004653E1" w:rsidRPr="00F06660" w:rsidRDefault="004653E1" w:rsidP="004653E1">
      <w:pPr>
        <w:spacing w:after="0"/>
        <w:jc w:val="both"/>
        <w:rPr>
          <w:rFonts w:ascii="Verdana" w:hAnsi="Verdana"/>
        </w:rPr>
      </w:pPr>
      <w:r w:rsidRPr="00F06660">
        <w:rPr>
          <w:rFonts w:ascii="Verdana" w:hAnsi="Verdana"/>
        </w:rPr>
        <w:t>Predvsem vrednote agencije, pa tudi področja presoje in strateški cilji so pri marsikateri nalogi tesno povezani med seboj oziroma bi jih bilo mogoče označiti več ali pa kar vse; zato so označeni tisti, za katere je mogoče presoditi, da  prevladujejo.</w:t>
      </w:r>
    </w:p>
    <w:p w14:paraId="21CBA6A1" w14:textId="77777777" w:rsidR="00484FBF" w:rsidRDefault="00484FBF" w:rsidP="004653E1">
      <w:pPr>
        <w:spacing w:after="0"/>
        <w:jc w:val="both"/>
        <w:rPr>
          <w:rFonts w:ascii="Verdana" w:hAnsi="Verdana"/>
        </w:rPr>
      </w:pPr>
    </w:p>
    <w:p w14:paraId="1591DDA2" w14:textId="0923DB99" w:rsidR="004653E1" w:rsidRPr="00F06660" w:rsidRDefault="004653E1" w:rsidP="004653E1">
      <w:pPr>
        <w:spacing w:after="0"/>
        <w:jc w:val="both"/>
        <w:rPr>
          <w:rFonts w:ascii="Verdana" w:hAnsi="Verdana"/>
        </w:rPr>
        <w:sectPr w:rsidR="004653E1" w:rsidRPr="00F06660" w:rsidSect="00E07F6C">
          <w:headerReference w:type="default" r:id="rId10"/>
          <w:footerReference w:type="default" r:id="rId11"/>
          <w:pgSz w:w="11906" w:h="16838" w:code="9"/>
          <w:pgMar w:top="1440" w:right="1080" w:bottom="1440" w:left="1080" w:header="357" w:footer="181" w:gutter="0"/>
          <w:cols w:space="708"/>
          <w:titlePg/>
          <w:docGrid w:linePitch="360"/>
        </w:sectPr>
      </w:pPr>
    </w:p>
    <w:p w14:paraId="382845B8" w14:textId="77777777" w:rsidR="00082164" w:rsidRDefault="00082164" w:rsidP="001F0B15">
      <w:pPr>
        <w:spacing w:after="0" w:line="240" w:lineRule="auto"/>
        <w:jc w:val="both"/>
        <w:rPr>
          <w:rFonts w:ascii="Verdana" w:eastAsia="Cambria" w:hAnsi="Verdana" w:cs="Times New Roman"/>
          <w:highlight w:val="yellow"/>
        </w:rPr>
      </w:pPr>
    </w:p>
    <w:p w14:paraId="23DBCD02" w14:textId="77777777" w:rsidR="00406A3D" w:rsidRPr="00D04954" w:rsidRDefault="00406A3D" w:rsidP="00406A3D">
      <w:pPr>
        <w:pStyle w:val="Brezrazmikov"/>
        <w:rPr>
          <w:rFonts w:ascii="Verdana" w:hAnsi="Verdana"/>
          <w:sz w:val="20"/>
          <w:szCs w:val="20"/>
        </w:rPr>
      </w:pPr>
    </w:p>
    <w:tbl>
      <w:tblPr>
        <w:tblStyle w:val="Tabelamrea"/>
        <w:tblW w:w="10031" w:type="dxa"/>
        <w:tblLayout w:type="fixed"/>
        <w:tblLook w:val="04A0" w:firstRow="1" w:lastRow="0" w:firstColumn="1" w:lastColumn="0" w:noHBand="0" w:noVBand="1"/>
      </w:tblPr>
      <w:tblGrid>
        <w:gridCol w:w="5778"/>
        <w:gridCol w:w="1276"/>
        <w:gridCol w:w="851"/>
        <w:gridCol w:w="1134"/>
        <w:gridCol w:w="992"/>
      </w:tblGrid>
      <w:tr w:rsidR="00406A3D" w:rsidRPr="00BF6FA0" w14:paraId="3EDB6E8D" w14:textId="77777777" w:rsidTr="00406A3D">
        <w:trPr>
          <w:trHeight w:val="255"/>
        </w:trPr>
        <w:tc>
          <w:tcPr>
            <w:tcW w:w="10031" w:type="dxa"/>
            <w:gridSpan w:val="5"/>
            <w:shd w:val="clear" w:color="auto" w:fill="E5B8B7" w:themeFill="accent2" w:themeFillTint="66"/>
            <w:hideMark/>
          </w:tcPr>
          <w:p w14:paraId="5B4B8416" w14:textId="77777777" w:rsidR="00406A3D" w:rsidRPr="00BF6FA0" w:rsidRDefault="00406A3D" w:rsidP="00406A3D">
            <w:pPr>
              <w:rPr>
                <w:rFonts w:ascii="Verdana" w:hAnsi="Verdana"/>
                <w:b/>
                <w:bCs/>
                <w:sz w:val="20"/>
                <w:szCs w:val="20"/>
              </w:rPr>
            </w:pPr>
          </w:p>
          <w:p w14:paraId="7B171987" w14:textId="77777777" w:rsidR="00406A3D" w:rsidRPr="00BF6FA0" w:rsidRDefault="00406A3D" w:rsidP="00406A3D">
            <w:pPr>
              <w:rPr>
                <w:rFonts w:ascii="Verdana" w:hAnsi="Verdana"/>
                <w:b/>
                <w:bCs/>
                <w:sz w:val="20"/>
                <w:szCs w:val="20"/>
              </w:rPr>
            </w:pPr>
            <w:r w:rsidRPr="00BF6FA0">
              <w:rPr>
                <w:rFonts w:ascii="Verdana" w:hAnsi="Verdana"/>
                <w:b/>
                <w:bCs/>
                <w:sz w:val="20"/>
                <w:szCs w:val="20"/>
              </w:rPr>
              <w:t>KROVNE NALOGE AGENCIJE</w:t>
            </w:r>
          </w:p>
          <w:p w14:paraId="403B5292" w14:textId="77777777" w:rsidR="00406A3D" w:rsidRPr="00BF6FA0" w:rsidRDefault="00406A3D" w:rsidP="00406A3D">
            <w:pPr>
              <w:rPr>
                <w:rFonts w:ascii="Verdana" w:eastAsia="Times New Roman" w:hAnsi="Verdana" w:cs="Times New Roman"/>
                <w:b/>
                <w:bCs/>
                <w:color w:val="000000"/>
                <w:sz w:val="20"/>
                <w:szCs w:val="20"/>
                <w:lang w:eastAsia="sl-SI"/>
              </w:rPr>
            </w:pPr>
          </w:p>
        </w:tc>
      </w:tr>
      <w:tr w:rsidR="00406A3D" w:rsidRPr="00BF6FA0" w14:paraId="6C31BB1D" w14:textId="77777777" w:rsidTr="00406A3D">
        <w:trPr>
          <w:trHeight w:val="255"/>
        </w:trPr>
        <w:tc>
          <w:tcPr>
            <w:tcW w:w="10031" w:type="dxa"/>
            <w:gridSpan w:val="5"/>
            <w:hideMark/>
          </w:tcPr>
          <w:p w14:paraId="032CE3F4" w14:textId="77777777" w:rsidR="00406A3D" w:rsidRPr="00BF6FA0" w:rsidRDefault="00406A3D" w:rsidP="00406A3D">
            <w:pPr>
              <w:rPr>
                <w:rFonts w:ascii="Verdana" w:eastAsia="Times New Roman" w:hAnsi="Verdana" w:cs="Times New Roman"/>
                <w:b/>
                <w:bCs/>
                <w:color w:val="000000"/>
                <w:sz w:val="20"/>
                <w:szCs w:val="20"/>
                <w:lang w:eastAsia="sl-SI"/>
              </w:rPr>
            </w:pPr>
            <w:r w:rsidRPr="00BF6FA0">
              <w:rPr>
                <w:rFonts w:ascii="Verdana" w:eastAsia="Times New Roman" w:hAnsi="Verdana" w:cs="Times New Roman"/>
                <w:b/>
                <w:bCs/>
                <w:color w:val="000000"/>
                <w:sz w:val="20"/>
                <w:szCs w:val="20"/>
                <w:lang w:eastAsia="sl-SI"/>
              </w:rPr>
              <w:t>koordinira: namestnica direktorja Tatjana Debevec</w:t>
            </w:r>
          </w:p>
        </w:tc>
      </w:tr>
      <w:tr w:rsidR="003840FD" w:rsidRPr="00BF6FA0" w14:paraId="55C1BA0E" w14:textId="77777777" w:rsidTr="00580769">
        <w:trPr>
          <w:trHeight w:val="675"/>
        </w:trPr>
        <w:tc>
          <w:tcPr>
            <w:tcW w:w="5778" w:type="dxa"/>
            <w:shd w:val="clear" w:color="auto" w:fill="C2D69B" w:themeFill="accent3" w:themeFillTint="99"/>
            <w:hideMark/>
          </w:tcPr>
          <w:p w14:paraId="5207B20E" w14:textId="77777777" w:rsidR="003840FD" w:rsidRPr="00D04954" w:rsidRDefault="003840FD" w:rsidP="00580769">
            <w:pPr>
              <w:rPr>
                <w:rFonts w:ascii="Verdana" w:eastAsia="Times New Roman" w:hAnsi="Verdana" w:cs="Times New Roman"/>
                <w:b/>
                <w:bCs/>
                <w:color w:val="000000"/>
                <w:sz w:val="20"/>
                <w:szCs w:val="20"/>
                <w:lang w:eastAsia="sl-SI"/>
              </w:rPr>
            </w:pPr>
            <w:r w:rsidRPr="00D04954">
              <w:rPr>
                <w:rFonts w:ascii="Verdana" w:eastAsia="Times New Roman" w:hAnsi="Verdana" w:cs="Times New Roman"/>
                <w:b/>
                <w:bCs/>
                <w:color w:val="000000"/>
                <w:sz w:val="20"/>
                <w:szCs w:val="20"/>
                <w:lang w:eastAsia="sl-SI"/>
              </w:rPr>
              <w:t>naloga</w:t>
            </w:r>
          </w:p>
          <w:p w14:paraId="1B127C7A" w14:textId="3E6C156E" w:rsidR="003840FD" w:rsidRPr="00BF6FA0" w:rsidRDefault="003840FD" w:rsidP="00580769">
            <w:pPr>
              <w:rPr>
                <w:rFonts w:ascii="Verdana" w:eastAsia="Times New Roman" w:hAnsi="Verdana" w:cs="Times New Roman"/>
                <w:b/>
                <w:bCs/>
                <w:color w:val="000000"/>
                <w:sz w:val="20"/>
                <w:szCs w:val="20"/>
                <w:lang w:eastAsia="sl-SI"/>
              </w:rPr>
            </w:pPr>
          </w:p>
        </w:tc>
        <w:tc>
          <w:tcPr>
            <w:tcW w:w="1276" w:type="dxa"/>
            <w:shd w:val="clear" w:color="auto" w:fill="C2D69B" w:themeFill="accent3" w:themeFillTint="99"/>
            <w:hideMark/>
          </w:tcPr>
          <w:p w14:paraId="2F3E19C8" w14:textId="77777777" w:rsidR="003840FD" w:rsidRPr="00BF6FA0" w:rsidRDefault="003840FD" w:rsidP="00580769">
            <w:pPr>
              <w:rPr>
                <w:rFonts w:ascii="Verdana" w:eastAsia="Times New Roman" w:hAnsi="Verdana" w:cs="Times New Roman"/>
                <w:b/>
                <w:bCs/>
                <w:color w:val="000000"/>
                <w:sz w:val="18"/>
                <w:szCs w:val="18"/>
                <w:lang w:eastAsia="sl-SI"/>
              </w:rPr>
            </w:pPr>
            <w:r w:rsidRPr="008F755A">
              <w:rPr>
                <w:rFonts w:ascii="Verdana" w:eastAsia="Times New Roman" w:hAnsi="Verdana" w:cs="Times New Roman"/>
                <w:b/>
                <w:bCs/>
                <w:color w:val="000000"/>
                <w:sz w:val="20"/>
                <w:szCs w:val="20"/>
                <w:lang w:eastAsia="sl-SI"/>
              </w:rPr>
              <w:t xml:space="preserve">opravljeno </w:t>
            </w:r>
            <w:r w:rsidRPr="008F755A">
              <w:rPr>
                <w:rFonts w:ascii="Verdana" w:eastAsia="Times New Roman" w:hAnsi="Verdana" w:cs="Times New Roman"/>
                <w:b/>
                <w:bCs/>
                <w:color w:val="000000"/>
                <w:sz w:val="16"/>
                <w:szCs w:val="16"/>
                <w:lang w:eastAsia="sl-SI"/>
              </w:rPr>
              <w:br/>
            </w:r>
            <w:r w:rsidRPr="00BF6FA0">
              <w:rPr>
                <w:rFonts w:ascii="Verdana" w:eastAsia="Times New Roman" w:hAnsi="Verdana" w:cs="Times New Roman"/>
                <w:b/>
                <w:bCs/>
                <w:color w:val="000000"/>
                <w:sz w:val="18"/>
                <w:szCs w:val="18"/>
                <w:lang w:eastAsia="sl-SI"/>
              </w:rPr>
              <w:t>DA/NE/ DELNO</w:t>
            </w:r>
          </w:p>
        </w:tc>
        <w:tc>
          <w:tcPr>
            <w:tcW w:w="851" w:type="dxa"/>
            <w:shd w:val="clear" w:color="auto" w:fill="C2D69B" w:themeFill="accent3" w:themeFillTint="99"/>
            <w:hideMark/>
          </w:tcPr>
          <w:p w14:paraId="7C6FCFBD" w14:textId="77777777" w:rsidR="003840FD" w:rsidRDefault="003840FD" w:rsidP="00580769">
            <w:pPr>
              <w:rPr>
                <w:rFonts w:ascii="Verdana" w:eastAsia="Times New Roman" w:hAnsi="Verdana" w:cs="Times New Roman"/>
                <w:b/>
                <w:bCs/>
                <w:color w:val="000000"/>
                <w:sz w:val="16"/>
                <w:szCs w:val="16"/>
                <w:lang w:eastAsia="sl-SI"/>
              </w:rPr>
            </w:pPr>
            <w:r w:rsidRPr="00BF6FA0">
              <w:rPr>
                <w:rFonts w:ascii="Verdana" w:eastAsia="Times New Roman" w:hAnsi="Verdana" w:cs="Times New Roman"/>
                <w:b/>
                <w:bCs/>
                <w:color w:val="000000"/>
                <w:sz w:val="18"/>
                <w:szCs w:val="18"/>
                <w:lang w:eastAsia="sl-SI"/>
              </w:rPr>
              <w:t xml:space="preserve"> </w:t>
            </w:r>
            <w:r w:rsidRPr="008F755A">
              <w:rPr>
                <w:rFonts w:ascii="Verdana" w:eastAsia="Times New Roman" w:hAnsi="Verdana" w:cs="Times New Roman"/>
                <w:b/>
                <w:bCs/>
                <w:color w:val="000000"/>
                <w:sz w:val="20"/>
                <w:szCs w:val="20"/>
                <w:lang w:eastAsia="sl-SI"/>
              </w:rPr>
              <w:t xml:space="preserve">A </w:t>
            </w:r>
            <w:r>
              <w:rPr>
                <w:rFonts w:ascii="Verdana" w:eastAsia="Times New Roman" w:hAnsi="Verdana" w:cs="Times New Roman"/>
                <w:b/>
                <w:bCs/>
                <w:color w:val="000000"/>
                <w:sz w:val="18"/>
                <w:szCs w:val="18"/>
                <w:lang w:eastAsia="sl-SI"/>
              </w:rPr>
              <w:t>(</w:t>
            </w:r>
            <w:r w:rsidRPr="008F755A">
              <w:rPr>
                <w:rFonts w:ascii="Verdana" w:eastAsia="Times New Roman" w:hAnsi="Verdana" w:cs="Times New Roman"/>
                <w:b/>
                <w:bCs/>
                <w:color w:val="000000"/>
                <w:sz w:val="16"/>
                <w:szCs w:val="16"/>
                <w:lang w:eastAsia="sl-SI"/>
              </w:rPr>
              <w:t>strateški cilji</w:t>
            </w:r>
            <w:r>
              <w:rPr>
                <w:rFonts w:ascii="Verdana" w:eastAsia="Times New Roman" w:hAnsi="Verdana" w:cs="Times New Roman"/>
                <w:b/>
                <w:bCs/>
                <w:color w:val="000000"/>
                <w:sz w:val="16"/>
                <w:szCs w:val="16"/>
                <w:lang w:eastAsia="sl-SI"/>
              </w:rPr>
              <w:t>)</w:t>
            </w:r>
          </w:p>
          <w:p w14:paraId="68818DCD" w14:textId="77777777" w:rsidR="003840FD" w:rsidRPr="00BF6FA0" w:rsidRDefault="003840FD" w:rsidP="00580769">
            <w:pPr>
              <w:rPr>
                <w:rFonts w:ascii="Verdana" w:eastAsia="Times New Roman" w:hAnsi="Verdana" w:cs="Times New Roman"/>
                <w:b/>
                <w:bCs/>
                <w:color w:val="000000"/>
                <w:sz w:val="18"/>
                <w:szCs w:val="18"/>
                <w:lang w:eastAsia="sl-SI"/>
              </w:rPr>
            </w:pPr>
            <w:r w:rsidRPr="00BF6FA0">
              <w:rPr>
                <w:rFonts w:ascii="Verdana" w:eastAsia="Times New Roman" w:hAnsi="Verdana" w:cs="Times New Roman"/>
                <w:b/>
                <w:bCs/>
                <w:color w:val="000000"/>
                <w:sz w:val="18"/>
                <w:szCs w:val="18"/>
                <w:lang w:eastAsia="sl-SI"/>
              </w:rPr>
              <w:t xml:space="preserve"> </w:t>
            </w:r>
          </w:p>
        </w:tc>
        <w:tc>
          <w:tcPr>
            <w:tcW w:w="1134" w:type="dxa"/>
            <w:shd w:val="clear" w:color="auto" w:fill="C2D69B" w:themeFill="accent3" w:themeFillTint="99"/>
            <w:hideMark/>
          </w:tcPr>
          <w:p w14:paraId="4D29F353" w14:textId="77777777" w:rsidR="003840FD" w:rsidRPr="008F755A" w:rsidRDefault="003840FD" w:rsidP="00580769">
            <w:pPr>
              <w:rPr>
                <w:rFonts w:ascii="Verdana" w:eastAsia="Times New Roman" w:hAnsi="Verdana" w:cs="Times New Roman"/>
                <w:b/>
                <w:bCs/>
                <w:color w:val="000000"/>
                <w:sz w:val="20"/>
                <w:szCs w:val="20"/>
                <w:lang w:eastAsia="sl-SI"/>
              </w:rPr>
            </w:pPr>
            <w:r w:rsidRPr="008F755A">
              <w:rPr>
                <w:rFonts w:ascii="Verdana" w:eastAsia="Times New Roman" w:hAnsi="Verdana" w:cs="Times New Roman"/>
                <w:b/>
                <w:bCs/>
                <w:color w:val="000000"/>
                <w:sz w:val="20"/>
                <w:szCs w:val="20"/>
                <w:lang w:eastAsia="sl-SI"/>
              </w:rPr>
              <w:t>B</w:t>
            </w:r>
          </w:p>
          <w:p w14:paraId="5D6888AC" w14:textId="77777777" w:rsidR="003840FD" w:rsidRPr="008F755A" w:rsidRDefault="003840FD" w:rsidP="00580769">
            <w:pPr>
              <w:rPr>
                <w:rFonts w:ascii="Verdana" w:eastAsia="Times New Roman" w:hAnsi="Verdana" w:cs="Times New Roman"/>
                <w:b/>
                <w:bCs/>
                <w:color w:val="000000"/>
                <w:sz w:val="16"/>
                <w:szCs w:val="16"/>
                <w:lang w:eastAsia="sl-SI"/>
              </w:rPr>
            </w:pPr>
            <w:r w:rsidRPr="008F755A">
              <w:rPr>
                <w:rFonts w:ascii="Verdana" w:eastAsia="Times New Roman" w:hAnsi="Verdana" w:cs="Times New Roman"/>
                <w:b/>
                <w:bCs/>
                <w:color w:val="000000"/>
                <w:sz w:val="16"/>
                <w:szCs w:val="16"/>
                <w:lang w:eastAsia="sl-SI"/>
              </w:rPr>
              <w:t>(področja presoje</w:t>
            </w:r>
            <w:r>
              <w:rPr>
                <w:rFonts w:ascii="Verdana" w:eastAsia="Times New Roman" w:hAnsi="Verdana" w:cs="Times New Roman"/>
                <w:b/>
                <w:bCs/>
                <w:color w:val="000000"/>
                <w:sz w:val="16"/>
                <w:szCs w:val="16"/>
                <w:lang w:eastAsia="sl-SI"/>
              </w:rPr>
              <w:t>)</w:t>
            </w:r>
          </w:p>
        </w:tc>
        <w:tc>
          <w:tcPr>
            <w:tcW w:w="992" w:type="dxa"/>
            <w:shd w:val="clear" w:color="auto" w:fill="C2D69B" w:themeFill="accent3" w:themeFillTint="99"/>
            <w:hideMark/>
          </w:tcPr>
          <w:p w14:paraId="0E50204E" w14:textId="77777777" w:rsidR="003840FD" w:rsidRPr="008F755A" w:rsidRDefault="003840FD" w:rsidP="00580769">
            <w:pPr>
              <w:rPr>
                <w:rFonts w:ascii="Verdana" w:eastAsia="Times New Roman" w:hAnsi="Verdana" w:cs="Times New Roman"/>
                <w:b/>
                <w:bCs/>
                <w:color w:val="000000"/>
                <w:sz w:val="20"/>
                <w:szCs w:val="20"/>
                <w:lang w:eastAsia="sl-SI"/>
              </w:rPr>
            </w:pPr>
            <w:r w:rsidRPr="008F755A">
              <w:rPr>
                <w:rFonts w:ascii="Verdana" w:eastAsia="Times New Roman" w:hAnsi="Verdana" w:cs="Times New Roman"/>
                <w:b/>
                <w:bCs/>
                <w:color w:val="000000"/>
                <w:sz w:val="20"/>
                <w:szCs w:val="20"/>
                <w:lang w:eastAsia="sl-SI"/>
              </w:rPr>
              <w:t>C</w:t>
            </w:r>
          </w:p>
          <w:p w14:paraId="32F40071" w14:textId="77777777" w:rsidR="003840FD" w:rsidRPr="008F755A" w:rsidRDefault="003840FD" w:rsidP="00580769">
            <w:pPr>
              <w:rPr>
                <w:rFonts w:ascii="Verdana" w:eastAsia="Times New Roman" w:hAnsi="Verdana" w:cs="Times New Roman"/>
                <w:b/>
                <w:bCs/>
                <w:color w:val="000000"/>
                <w:sz w:val="16"/>
                <w:szCs w:val="16"/>
                <w:lang w:eastAsia="sl-SI"/>
              </w:rPr>
            </w:pPr>
            <w:r w:rsidRPr="008F755A">
              <w:rPr>
                <w:rFonts w:ascii="Verdana" w:eastAsia="Times New Roman" w:hAnsi="Verdana" w:cs="Times New Roman"/>
                <w:b/>
                <w:bCs/>
                <w:color w:val="000000"/>
                <w:sz w:val="16"/>
                <w:szCs w:val="16"/>
                <w:lang w:eastAsia="sl-SI"/>
              </w:rPr>
              <w:t>(vrednote)</w:t>
            </w:r>
          </w:p>
        </w:tc>
      </w:tr>
      <w:tr w:rsidR="003840FD" w:rsidRPr="00BF6FA0" w14:paraId="4A6C15E6" w14:textId="77777777" w:rsidTr="00580769">
        <w:trPr>
          <w:trHeight w:val="255"/>
        </w:trPr>
        <w:tc>
          <w:tcPr>
            <w:tcW w:w="5778" w:type="dxa"/>
            <w:hideMark/>
          </w:tcPr>
          <w:p w14:paraId="2204E266" w14:textId="77777777" w:rsidR="003840FD" w:rsidRPr="00BF6FA0" w:rsidRDefault="003840FD" w:rsidP="00406A3D">
            <w:pPr>
              <w:rPr>
                <w:rFonts w:ascii="Verdana" w:eastAsia="Times New Roman" w:hAnsi="Verdana" w:cs="Times New Roman"/>
                <w:color w:val="000000"/>
                <w:sz w:val="20"/>
                <w:szCs w:val="20"/>
                <w:lang w:eastAsia="sl-SI"/>
              </w:rPr>
            </w:pPr>
            <w:r w:rsidRPr="00BF6FA0">
              <w:rPr>
                <w:rFonts w:ascii="Verdana" w:eastAsia="Times New Roman" w:hAnsi="Verdana" w:cs="Times New Roman"/>
                <w:color w:val="000000"/>
                <w:sz w:val="20"/>
                <w:szCs w:val="20"/>
                <w:lang w:eastAsia="sl-SI"/>
              </w:rPr>
              <w:t>Delovni in finančni načrt agencije za leto 2018; z akcijskim načrtom</w:t>
            </w:r>
          </w:p>
          <w:p w14:paraId="3167B45C" w14:textId="537EF5C0" w:rsidR="003840FD" w:rsidRPr="00D04954" w:rsidRDefault="003840FD" w:rsidP="00406A3D">
            <w:pPr>
              <w:rPr>
                <w:rFonts w:ascii="Verdana" w:eastAsia="Times New Roman" w:hAnsi="Verdana" w:cs="Times New Roman"/>
                <w:color w:val="000000"/>
                <w:sz w:val="20"/>
                <w:szCs w:val="20"/>
                <w:lang w:eastAsia="sl-SI"/>
              </w:rPr>
            </w:pPr>
          </w:p>
        </w:tc>
        <w:tc>
          <w:tcPr>
            <w:tcW w:w="1276" w:type="dxa"/>
            <w:hideMark/>
          </w:tcPr>
          <w:p w14:paraId="727EEB9C" w14:textId="77777777" w:rsidR="003840FD" w:rsidRPr="00BF6FA0" w:rsidRDefault="003840FD" w:rsidP="00406A3D">
            <w:pPr>
              <w:rPr>
                <w:rFonts w:ascii="Verdana" w:eastAsia="Times New Roman" w:hAnsi="Verdana" w:cs="Times New Roman"/>
                <w:color w:val="000000"/>
                <w:sz w:val="20"/>
                <w:szCs w:val="20"/>
                <w:lang w:eastAsia="sl-SI"/>
              </w:rPr>
            </w:pPr>
            <w:r w:rsidRPr="00BF6FA0">
              <w:rPr>
                <w:rFonts w:ascii="Verdana" w:eastAsia="Times New Roman" w:hAnsi="Verdana" w:cs="Times New Roman"/>
                <w:color w:val="000000"/>
                <w:sz w:val="20"/>
                <w:szCs w:val="20"/>
                <w:lang w:eastAsia="sl-SI"/>
              </w:rPr>
              <w:t>DA</w:t>
            </w:r>
          </w:p>
        </w:tc>
        <w:tc>
          <w:tcPr>
            <w:tcW w:w="2977" w:type="dxa"/>
            <w:gridSpan w:val="3"/>
            <w:vMerge w:val="restart"/>
            <w:hideMark/>
          </w:tcPr>
          <w:p w14:paraId="0A21B6BD" w14:textId="77777777" w:rsidR="003840FD" w:rsidRPr="00E43B71" w:rsidRDefault="003840FD" w:rsidP="00406A3D">
            <w:pPr>
              <w:rPr>
                <w:rFonts w:ascii="Verdana" w:eastAsia="Times New Roman" w:hAnsi="Verdana" w:cs="Times New Roman"/>
                <w:color w:val="000000"/>
                <w:sz w:val="20"/>
                <w:szCs w:val="20"/>
                <w:lang w:eastAsia="sl-SI"/>
              </w:rPr>
            </w:pPr>
            <w:r w:rsidRPr="008F755A">
              <w:rPr>
                <w:rFonts w:ascii="Verdana" w:eastAsia="Times New Roman" w:hAnsi="Verdana" w:cs="Calibri"/>
                <w:color w:val="000000"/>
                <w:sz w:val="20"/>
                <w:szCs w:val="20"/>
              </w:rPr>
              <w:t>Upoštevajo se vsi strateški cilji, področja presoje in vrednote agencije.</w:t>
            </w:r>
          </w:p>
        </w:tc>
      </w:tr>
      <w:tr w:rsidR="003840FD" w:rsidRPr="00BF6FA0" w14:paraId="64E7752E" w14:textId="77777777" w:rsidTr="00580769">
        <w:trPr>
          <w:trHeight w:val="255"/>
        </w:trPr>
        <w:tc>
          <w:tcPr>
            <w:tcW w:w="5778" w:type="dxa"/>
            <w:hideMark/>
          </w:tcPr>
          <w:p w14:paraId="5939DB66" w14:textId="77777777" w:rsidR="003840FD" w:rsidRPr="00BF6FA0" w:rsidRDefault="003840FD" w:rsidP="00406A3D">
            <w:pPr>
              <w:rPr>
                <w:rFonts w:ascii="Verdana" w:eastAsia="Times New Roman" w:hAnsi="Verdana" w:cs="Times New Roman"/>
                <w:color w:val="000000"/>
                <w:sz w:val="20"/>
                <w:szCs w:val="20"/>
                <w:lang w:eastAsia="sl-SI"/>
              </w:rPr>
            </w:pPr>
            <w:r w:rsidRPr="00BF6FA0">
              <w:rPr>
                <w:rFonts w:ascii="Verdana" w:eastAsia="Times New Roman" w:hAnsi="Verdana" w:cs="Times New Roman"/>
                <w:color w:val="000000"/>
                <w:sz w:val="20"/>
                <w:szCs w:val="20"/>
                <w:lang w:eastAsia="sl-SI"/>
              </w:rPr>
              <w:t>Delovni in finančni načrt agencije za leto 2019; z akcijskim načrtom</w:t>
            </w:r>
          </w:p>
          <w:p w14:paraId="68452C20" w14:textId="48A6A9F4" w:rsidR="003840FD" w:rsidRPr="00D04954" w:rsidRDefault="003840FD" w:rsidP="00406A3D">
            <w:pPr>
              <w:rPr>
                <w:rFonts w:ascii="Verdana" w:eastAsia="Times New Roman" w:hAnsi="Verdana" w:cs="Times New Roman"/>
                <w:color w:val="000000"/>
                <w:sz w:val="20"/>
                <w:szCs w:val="20"/>
                <w:lang w:eastAsia="sl-SI"/>
              </w:rPr>
            </w:pPr>
          </w:p>
        </w:tc>
        <w:tc>
          <w:tcPr>
            <w:tcW w:w="1276" w:type="dxa"/>
            <w:hideMark/>
          </w:tcPr>
          <w:p w14:paraId="40BAC1C2" w14:textId="77777777" w:rsidR="003840FD" w:rsidRPr="00BF6FA0" w:rsidRDefault="003840FD" w:rsidP="00406A3D">
            <w:pPr>
              <w:rPr>
                <w:rFonts w:ascii="Verdana" w:eastAsia="Times New Roman" w:hAnsi="Verdana" w:cs="Times New Roman"/>
                <w:color w:val="000000"/>
                <w:sz w:val="20"/>
                <w:szCs w:val="20"/>
                <w:lang w:eastAsia="sl-SI"/>
              </w:rPr>
            </w:pPr>
            <w:r w:rsidRPr="00BF6FA0">
              <w:rPr>
                <w:rFonts w:ascii="Verdana" w:eastAsia="Times New Roman" w:hAnsi="Verdana" w:cs="Times New Roman"/>
                <w:color w:val="000000"/>
                <w:sz w:val="20"/>
                <w:szCs w:val="20"/>
                <w:lang w:eastAsia="sl-SI"/>
              </w:rPr>
              <w:t>DA</w:t>
            </w:r>
          </w:p>
        </w:tc>
        <w:tc>
          <w:tcPr>
            <w:tcW w:w="2977" w:type="dxa"/>
            <w:gridSpan w:val="3"/>
            <w:vMerge/>
          </w:tcPr>
          <w:p w14:paraId="57A80C29" w14:textId="77777777" w:rsidR="003840FD" w:rsidRPr="00BF6FA0" w:rsidRDefault="003840FD" w:rsidP="00406A3D">
            <w:pPr>
              <w:rPr>
                <w:rFonts w:ascii="Verdana" w:eastAsia="Times New Roman" w:hAnsi="Verdana" w:cs="Times New Roman"/>
                <w:color w:val="000000"/>
                <w:sz w:val="20"/>
                <w:szCs w:val="20"/>
                <w:lang w:eastAsia="sl-SI"/>
              </w:rPr>
            </w:pPr>
          </w:p>
        </w:tc>
      </w:tr>
      <w:tr w:rsidR="003840FD" w:rsidRPr="00BF6FA0" w14:paraId="6AF74706" w14:textId="77777777" w:rsidTr="00580769">
        <w:trPr>
          <w:trHeight w:val="255"/>
        </w:trPr>
        <w:tc>
          <w:tcPr>
            <w:tcW w:w="5778" w:type="dxa"/>
            <w:hideMark/>
          </w:tcPr>
          <w:p w14:paraId="2F9BFE3C" w14:textId="77777777" w:rsidR="003840FD" w:rsidRPr="00BF6FA0" w:rsidRDefault="003840FD" w:rsidP="00406A3D">
            <w:pPr>
              <w:rPr>
                <w:rFonts w:ascii="Verdana" w:eastAsia="Times New Roman" w:hAnsi="Verdana" w:cs="Times New Roman"/>
                <w:color w:val="000000"/>
                <w:sz w:val="20"/>
                <w:szCs w:val="20"/>
                <w:lang w:eastAsia="sl-SI"/>
              </w:rPr>
            </w:pPr>
            <w:r w:rsidRPr="00BF6FA0">
              <w:rPr>
                <w:rFonts w:ascii="Verdana" w:eastAsia="Times New Roman" w:hAnsi="Verdana" w:cs="Times New Roman"/>
                <w:color w:val="000000"/>
                <w:sz w:val="20"/>
                <w:szCs w:val="20"/>
                <w:lang w:eastAsia="sl-SI"/>
              </w:rPr>
              <w:t>Poročilo o delu in poslovanju agencije v letu 2018</w:t>
            </w:r>
          </w:p>
          <w:p w14:paraId="4AD399E3" w14:textId="3CD2E25D" w:rsidR="003840FD" w:rsidRPr="00BF6FA0" w:rsidRDefault="003840FD" w:rsidP="00406A3D">
            <w:pPr>
              <w:rPr>
                <w:rFonts w:ascii="Verdana" w:eastAsia="Times New Roman" w:hAnsi="Verdana" w:cs="Times New Roman"/>
                <w:color w:val="000000"/>
                <w:sz w:val="20"/>
                <w:szCs w:val="20"/>
                <w:lang w:eastAsia="sl-SI"/>
              </w:rPr>
            </w:pPr>
          </w:p>
        </w:tc>
        <w:tc>
          <w:tcPr>
            <w:tcW w:w="1276" w:type="dxa"/>
            <w:hideMark/>
          </w:tcPr>
          <w:p w14:paraId="32C378DA" w14:textId="77777777" w:rsidR="003840FD" w:rsidRPr="00BF6FA0" w:rsidRDefault="003840FD" w:rsidP="00406A3D">
            <w:pPr>
              <w:rPr>
                <w:rFonts w:ascii="Verdana" w:eastAsia="Times New Roman" w:hAnsi="Verdana" w:cs="Times New Roman"/>
                <w:color w:val="000000"/>
                <w:sz w:val="20"/>
                <w:szCs w:val="20"/>
                <w:lang w:eastAsia="sl-SI"/>
              </w:rPr>
            </w:pPr>
            <w:r w:rsidRPr="00BF6FA0">
              <w:rPr>
                <w:rFonts w:ascii="Verdana" w:eastAsia="Times New Roman" w:hAnsi="Verdana" w:cs="Times New Roman"/>
                <w:color w:val="000000"/>
                <w:sz w:val="20"/>
                <w:szCs w:val="20"/>
                <w:lang w:eastAsia="sl-SI"/>
              </w:rPr>
              <w:t xml:space="preserve">NE; novi datum 1. 2. 2019 </w:t>
            </w:r>
          </w:p>
        </w:tc>
        <w:tc>
          <w:tcPr>
            <w:tcW w:w="2977" w:type="dxa"/>
            <w:gridSpan w:val="3"/>
            <w:vMerge/>
          </w:tcPr>
          <w:p w14:paraId="0FFFFF71" w14:textId="77777777" w:rsidR="003840FD" w:rsidRPr="00BF6FA0" w:rsidRDefault="003840FD" w:rsidP="00406A3D">
            <w:pPr>
              <w:rPr>
                <w:rFonts w:ascii="Verdana" w:eastAsia="Times New Roman" w:hAnsi="Verdana" w:cs="Times New Roman"/>
                <w:color w:val="000000"/>
                <w:sz w:val="20"/>
                <w:szCs w:val="20"/>
                <w:lang w:eastAsia="sl-SI"/>
              </w:rPr>
            </w:pPr>
          </w:p>
        </w:tc>
      </w:tr>
    </w:tbl>
    <w:p w14:paraId="2B6C9B21" w14:textId="77777777" w:rsidR="00406A3D" w:rsidRPr="008F755A" w:rsidRDefault="00406A3D" w:rsidP="00406A3D">
      <w:pPr>
        <w:rPr>
          <w:rFonts w:ascii="Verdana" w:hAnsi="Verdana"/>
        </w:rPr>
      </w:pPr>
    </w:p>
    <w:p w14:paraId="008814B0" w14:textId="77777777" w:rsidR="00406A3D" w:rsidRPr="00122A06" w:rsidRDefault="00406A3D" w:rsidP="00406A3D">
      <w:pPr>
        <w:rPr>
          <w:rFonts w:ascii="Verdana" w:hAnsi="Verdana"/>
          <w:b/>
        </w:rPr>
      </w:pPr>
      <w:r w:rsidRPr="00122A06">
        <w:rPr>
          <w:rFonts w:ascii="Verdana" w:hAnsi="Verdana"/>
          <w:b/>
        </w:rPr>
        <w:t>Pojasnilo k pregledu opravljenih nalog:</w:t>
      </w:r>
    </w:p>
    <w:p w14:paraId="7F8E534A" w14:textId="05906F1B" w:rsidR="00406A3D" w:rsidRDefault="00406A3D" w:rsidP="00406A3D">
      <w:pPr>
        <w:jc w:val="both"/>
      </w:pPr>
      <w:r w:rsidRPr="00122A06">
        <w:rPr>
          <w:rFonts w:ascii="Verdana" w:hAnsi="Verdana"/>
        </w:rPr>
        <w:t xml:space="preserve">Medtem ko sta bila oba LDN (za leti 2018 in 2019) izdelana in sprejeta v postavljenem roku, se je pripravljanje poročila o delu in poslovanju agencije prestavilo v januar in februar 2019. Odločitev za to je razumljiva, saj se je moralo leto 2018 </w:t>
      </w:r>
      <w:r w:rsidR="0096587E" w:rsidRPr="00122A06">
        <w:rPr>
          <w:rFonts w:ascii="Verdana" w:hAnsi="Verdana"/>
        </w:rPr>
        <w:t xml:space="preserve">najprej </w:t>
      </w:r>
      <w:r w:rsidRPr="00122A06">
        <w:rPr>
          <w:rFonts w:ascii="Verdana" w:hAnsi="Verdana"/>
        </w:rPr>
        <w:t>končati, poleg tega se</w:t>
      </w:r>
      <w:r w:rsidR="0096587E" w:rsidRPr="00122A06">
        <w:rPr>
          <w:rFonts w:ascii="Verdana" w:hAnsi="Verdana"/>
        </w:rPr>
        <w:t xml:space="preserve"> v skladu s finančnimi predpisi</w:t>
      </w:r>
      <w:r w:rsidRPr="00122A06">
        <w:rPr>
          <w:rFonts w:ascii="Verdana" w:hAnsi="Verdana"/>
        </w:rPr>
        <w:t xml:space="preserve"> ob začetku vsakega koledarskega leta pripravljata poslovno poročilo in zaključni račun za preteklo leto, ki ju je treba upoštevati v tem poročilu in ki ju je mogoče </w:t>
      </w:r>
      <w:r w:rsidR="0096587E" w:rsidRPr="00122A06">
        <w:rPr>
          <w:rFonts w:ascii="Verdana" w:hAnsi="Verdana"/>
        </w:rPr>
        <w:t>v celoti</w:t>
      </w:r>
      <w:r w:rsidRPr="00122A06">
        <w:rPr>
          <w:rFonts w:ascii="Verdana" w:hAnsi="Verdana"/>
        </w:rPr>
        <w:t xml:space="preserve"> izdelati </w:t>
      </w:r>
      <w:r w:rsidR="0096587E" w:rsidRPr="00122A06">
        <w:rPr>
          <w:rFonts w:ascii="Verdana" w:hAnsi="Verdana"/>
        </w:rPr>
        <w:t xml:space="preserve">do konca </w:t>
      </w:r>
      <w:r w:rsidRPr="00122A06">
        <w:rPr>
          <w:rFonts w:ascii="Verdana" w:hAnsi="Verdana"/>
        </w:rPr>
        <w:t>februarja</w:t>
      </w:r>
      <w:r w:rsidR="0096587E" w:rsidRPr="00122A06">
        <w:rPr>
          <w:rFonts w:ascii="Verdana" w:hAnsi="Verdana"/>
        </w:rPr>
        <w:t xml:space="preserve"> </w:t>
      </w:r>
      <w:r w:rsidR="00B35E31" w:rsidRPr="00122A06">
        <w:rPr>
          <w:rFonts w:ascii="Verdana" w:hAnsi="Verdana"/>
        </w:rPr>
        <w:t>oziroma</w:t>
      </w:r>
      <w:r w:rsidR="0096587E" w:rsidRPr="00122A06">
        <w:rPr>
          <w:rFonts w:ascii="Verdana" w:hAnsi="Verdana"/>
        </w:rPr>
        <w:t xml:space="preserve"> do sredine marca</w:t>
      </w:r>
      <w:r w:rsidRPr="00122A06">
        <w:rPr>
          <w:rFonts w:ascii="Verdana" w:hAnsi="Verdana"/>
        </w:rPr>
        <w:t>.</w:t>
      </w:r>
      <w:r w:rsidRPr="0047550E">
        <w:rPr>
          <w:rFonts w:ascii="Verdana" w:hAnsi="Verdana"/>
        </w:rPr>
        <w:t xml:space="preserve"> </w:t>
      </w:r>
    </w:p>
    <w:tbl>
      <w:tblPr>
        <w:tblStyle w:val="Tabelamrea"/>
        <w:tblW w:w="9923" w:type="dxa"/>
        <w:tblInd w:w="108" w:type="dxa"/>
        <w:tblLayout w:type="fixed"/>
        <w:tblLook w:val="04A0" w:firstRow="1" w:lastRow="0" w:firstColumn="1" w:lastColumn="0" w:noHBand="0" w:noVBand="1"/>
      </w:tblPr>
      <w:tblGrid>
        <w:gridCol w:w="2694"/>
        <w:gridCol w:w="2976"/>
        <w:gridCol w:w="1276"/>
        <w:gridCol w:w="851"/>
        <w:gridCol w:w="1134"/>
        <w:gridCol w:w="992"/>
      </w:tblGrid>
      <w:tr w:rsidR="00C11985" w:rsidRPr="00E525AF" w14:paraId="7D5488D1" w14:textId="77777777" w:rsidTr="0096587E">
        <w:trPr>
          <w:trHeight w:val="1155"/>
        </w:trPr>
        <w:tc>
          <w:tcPr>
            <w:tcW w:w="9923" w:type="dxa"/>
            <w:gridSpan w:val="6"/>
            <w:shd w:val="clear" w:color="auto" w:fill="B8CCE4" w:themeFill="accent1" w:themeFillTint="66"/>
            <w:hideMark/>
          </w:tcPr>
          <w:p w14:paraId="121E364C" w14:textId="77777777" w:rsidR="00C11985" w:rsidRDefault="00C11985" w:rsidP="00406A3D">
            <w:pPr>
              <w:rPr>
                <w:rFonts w:ascii="Verdana" w:eastAsia="Times New Roman" w:hAnsi="Verdana" w:cs="Times New Roman"/>
                <w:b/>
                <w:bCs/>
                <w:color w:val="000000"/>
                <w:sz w:val="20"/>
                <w:szCs w:val="20"/>
                <w:lang w:eastAsia="sl-SI"/>
              </w:rPr>
            </w:pPr>
          </w:p>
          <w:p w14:paraId="2C15BC94" w14:textId="77777777" w:rsidR="00C11985" w:rsidRPr="0022059D" w:rsidRDefault="00C11985" w:rsidP="00406A3D">
            <w:pPr>
              <w:ind w:left="360"/>
              <w:jc w:val="center"/>
              <w:rPr>
                <w:rFonts w:ascii="Verdana" w:eastAsia="Times New Roman" w:hAnsi="Verdana"/>
                <w:b/>
                <w:bCs/>
                <w:color w:val="000000"/>
                <w:lang w:eastAsia="sl-SI"/>
              </w:rPr>
            </w:pPr>
          </w:p>
          <w:p w14:paraId="13960543" w14:textId="5E4C0E38" w:rsidR="00C11985" w:rsidRPr="00E525AF" w:rsidRDefault="00C11985" w:rsidP="0096587E">
            <w:pPr>
              <w:ind w:left="360"/>
              <w:jc w:val="center"/>
              <w:rPr>
                <w:rFonts w:ascii="Verdana" w:eastAsia="Times New Roman" w:hAnsi="Verdana" w:cs="Times New Roman"/>
                <w:b/>
                <w:bCs/>
                <w:color w:val="000000"/>
                <w:sz w:val="20"/>
                <w:szCs w:val="20"/>
                <w:lang w:eastAsia="sl-SI"/>
              </w:rPr>
            </w:pPr>
            <w:r w:rsidRPr="00167CAB">
              <w:rPr>
                <w:rFonts w:ascii="Verdana" w:eastAsia="Times New Roman" w:hAnsi="Verdana"/>
                <w:b/>
                <w:bCs/>
                <w:color w:val="000000"/>
                <w:lang w:eastAsia="sl-SI"/>
              </w:rPr>
              <w:t>SEKTOR ZA KAKOVOST</w:t>
            </w:r>
          </w:p>
        </w:tc>
      </w:tr>
      <w:tr w:rsidR="00406A3D" w:rsidRPr="00B21990" w14:paraId="288F493D" w14:textId="77777777" w:rsidTr="00406A3D">
        <w:trPr>
          <w:trHeight w:val="675"/>
        </w:trPr>
        <w:tc>
          <w:tcPr>
            <w:tcW w:w="2694" w:type="dxa"/>
            <w:shd w:val="clear" w:color="auto" w:fill="C2D69B" w:themeFill="accent3" w:themeFillTint="99"/>
            <w:hideMark/>
          </w:tcPr>
          <w:p w14:paraId="402FB0CF" w14:textId="77777777" w:rsidR="00406A3D" w:rsidRPr="00D04954" w:rsidRDefault="00406A3D" w:rsidP="00406A3D">
            <w:pPr>
              <w:rPr>
                <w:rFonts w:ascii="Verdana" w:eastAsia="Times New Roman" w:hAnsi="Verdana" w:cs="Times New Roman"/>
                <w:b/>
                <w:bCs/>
                <w:color w:val="000000"/>
                <w:sz w:val="20"/>
                <w:szCs w:val="20"/>
                <w:lang w:eastAsia="sl-SI"/>
              </w:rPr>
            </w:pPr>
            <w:r w:rsidRPr="00D04954">
              <w:rPr>
                <w:rFonts w:ascii="Verdana" w:eastAsia="Times New Roman" w:hAnsi="Verdana" w:cs="Times New Roman"/>
                <w:b/>
                <w:bCs/>
                <w:color w:val="000000"/>
                <w:sz w:val="20"/>
                <w:szCs w:val="20"/>
                <w:lang w:eastAsia="sl-SI"/>
              </w:rPr>
              <w:t>naloga</w:t>
            </w:r>
          </w:p>
        </w:tc>
        <w:tc>
          <w:tcPr>
            <w:tcW w:w="2976" w:type="dxa"/>
            <w:shd w:val="clear" w:color="auto" w:fill="C2D69B" w:themeFill="accent3" w:themeFillTint="99"/>
            <w:hideMark/>
          </w:tcPr>
          <w:p w14:paraId="009EBFFB" w14:textId="77777777" w:rsidR="00406A3D" w:rsidRPr="00B21990" w:rsidRDefault="00406A3D" w:rsidP="00406A3D">
            <w:pPr>
              <w:rPr>
                <w:rFonts w:ascii="Verdana" w:eastAsia="Times New Roman" w:hAnsi="Verdana" w:cs="Times New Roman"/>
                <w:b/>
                <w:bCs/>
                <w:color w:val="000000"/>
                <w:sz w:val="20"/>
                <w:szCs w:val="20"/>
                <w:lang w:eastAsia="sl-SI"/>
              </w:rPr>
            </w:pPr>
            <w:r w:rsidRPr="00B21990">
              <w:rPr>
                <w:rFonts w:ascii="Verdana" w:eastAsia="Times New Roman" w:hAnsi="Verdana" w:cs="Times New Roman"/>
                <w:b/>
                <w:bCs/>
                <w:color w:val="000000"/>
                <w:sz w:val="20"/>
                <w:szCs w:val="20"/>
                <w:lang w:eastAsia="sl-SI"/>
              </w:rPr>
              <w:t>vsebina</w:t>
            </w:r>
          </w:p>
        </w:tc>
        <w:tc>
          <w:tcPr>
            <w:tcW w:w="1276" w:type="dxa"/>
            <w:shd w:val="clear" w:color="auto" w:fill="C2D69B" w:themeFill="accent3" w:themeFillTint="99"/>
            <w:hideMark/>
          </w:tcPr>
          <w:p w14:paraId="6537BE4C" w14:textId="77777777" w:rsidR="00406A3D" w:rsidRPr="00B21990" w:rsidRDefault="00406A3D" w:rsidP="00406A3D">
            <w:pPr>
              <w:rPr>
                <w:rFonts w:ascii="Verdana" w:eastAsia="Times New Roman" w:hAnsi="Verdana" w:cs="Times New Roman"/>
                <w:b/>
                <w:bCs/>
                <w:color w:val="000000"/>
                <w:sz w:val="18"/>
                <w:szCs w:val="18"/>
                <w:lang w:eastAsia="sl-SI"/>
              </w:rPr>
            </w:pPr>
            <w:r w:rsidRPr="00B21990">
              <w:rPr>
                <w:rFonts w:ascii="Verdana" w:eastAsia="Times New Roman" w:hAnsi="Verdana" w:cs="Times New Roman"/>
                <w:b/>
                <w:bCs/>
                <w:color w:val="000000"/>
                <w:sz w:val="20"/>
                <w:szCs w:val="20"/>
                <w:lang w:eastAsia="sl-SI"/>
              </w:rPr>
              <w:t xml:space="preserve">opravljeno </w:t>
            </w:r>
            <w:r w:rsidRPr="00B21990">
              <w:rPr>
                <w:rFonts w:ascii="Verdana" w:eastAsia="Times New Roman" w:hAnsi="Verdana" w:cs="Times New Roman"/>
                <w:b/>
                <w:bCs/>
                <w:color w:val="000000"/>
                <w:sz w:val="16"/>
                <w:szCs w:val="16"/>
                <w:lang w:eastAsia="sl-SI"/>
              </w:rPr>
              <w:br/>
            </w:r>
            <w:r w:rsidRPr="00B21990">
              <w:rPr>
                <w:rFonts w:ascii="Verdana" w:eastAsia="Times New Roman" w:hAnsi="Verdana" w:cs="Times New Roman"/>
                <w:b/>
                <w:bCs/>
                <w:color w:val="000000"/>
                <w:sz w:val="18"/>
                <w:szCs w:val="18"/>
                <w:lang w:eastAsia="sl-SI"/>
              </w:rPr>
              <w:t>DA/NE/ DELNO</w:t>
            </w:r>
          </w:p>
        </w:tc>
        <w:tc>
          <w:tcPr>
            <w:tcW w:w="851" w:type="dxa"/>
            <w:shd w:val="clear" w:color="auto" w:fill="C2D69B" w:themeFill="accent3" w:themeFillTint="99"/>
            <w:hideMark/>
          </w:tcPr>
          <w:p w14:paraId="268C59B5" w14:textId="77777777" w:rsidR="00406A3D" w:rsidRDefault="00406A3D" w:rsidP="00406A3D">
            <w:pPr>
              <w:rPr>
                <w:rFonts w:ascii="Verdana" w:eastAsia="Times New Roman" w:hAnsi="Verdana" w:cs="Times New Roman"/>
                <w:b/>
                <w:bCs/>
                <w:color w:val="000000"/>
                <w:sz w:val="16"/>
                <w:szCs w:val="16"/>
                <w:lang w:eastAsia="sl-SI"/>
              </w:rPr>
            </w:pPr>
            <w:r w:rsidRPr="00B21990">
              <w:rPr>
                <w:rFonts w:ascii="Verdana" w:eastAsia="Times New Roman" w:hAnsi="Verdana" w:cs="Times New Roman"/>
                <w:b/>
                <w:bCs/>
                <w:color w:val="000000"/>
                <w:sz w:val="18"/>
                <w:szCs w:val="18"/>
                <w:lang w:eastAsia="sl-SI"/>
              </w:rPr>
              <w:t xml:space="preserve"> </w:t>
            </w:r>
            <w:r w:rsidRPr="00B21990">
              <w:rPr>
                <w:rFonts w:ascii="Verdana" w:eastAsia="Times New Roman" w:hAnsi="Verdana" w:cs="Times New Roman"/>
                <w:b/>
                <w:bCs/>
                <w:color w:val="000000"/>
                <w:sz w:val="20"/>
                <w:szCs w:val="20"/>
                <w:lang w:eastAsia="sl-SI"/>
              </w:rPr>
              <w:t xml:space="preserve">A </w:t>
            </w:r>
            <w:r>
              <w:rPr>
                <w:rFonts w:ascii="Verdana" w:eastAsia="Times New Roman" w:hAnsi="Verdana" w:cs="Times New Roman"/>
                <w:b/>
                <w:bCs/>
                <w:color w:val="000000"/>
                <w:sz w:val="18"/>
                <w:szCs w:val="18"/>
                <w:lang w:eastAsia="sl-SI"/>
              </w:rPr>
              <w:t>(</w:t>
            </w:r>
            <w:r w:rsidRPr="00B21990">
              <w:rPr>
                <w:rFonts w:ascii="Verdana" w:eastAsia="Times New Roman" w:hAnsi="Verdana" w:cs="Times New Roman"/>
                <w:b/>
                <w:bCs/>
                <w:color w:val="000000"/>
                <w:sz w:val="16"/>
                <w:szCs w:val="16"/>
                <w:lang w:eastAsia="sl-SI"/>
              </w:rPr>
              <w:t>strateški cilji</w:t>
            </w:r>
            <w:r>
              <w:rPr>
                <w:rFonts w:ascii="Verdana" w:eastAsia="Times New Roman" w:hAnsi="Verdana" w:cs="Times New Roman"/>
                <w:b/>
                <w:bCs/>
                <w:color w:val="000000"/>
                <w:sz w:val="16"/>
                <w:szCs w:val="16"/>
                <w:lang w:eastAsia="sl-SI"/>
              </w:rPr>
              <w:t>)</w:t>
            </w:r>
          </w:p>
          <w:p w14:paraId="715A2980" w14:textId="77777777" w:rsidR="00406A3D" w:rsidRPr="00B21990" w:rsidRDefault="00406A3D" w:rsidP="00406A3D">
            <w:pPr>
              <w:rPr>
                <w:rFonts w:ascii="Verdana" w:eastAsia="Times New Roman" w:hAnsi="Verdana" w:cs="Times New Roman"/>
                <w:b/>
                <w:bCs/>
                <w:color w:val="000000"/>
                <w:sz w:val="18"/>
                <w:szCs w:val="18"/>
                <w:lang w:eastAsia="sl-SI"/>
              </w:rPr>
            </w:pPr>
            <w:r w:rsidRPr="00B21990">
              <w:rPr>
                <w:rFonts w:ascii="Verdana" w:eastAsia="Times New Roman" w:hAnsi="Verdana" w:cs="Times New Roman"/>
                <w:b/>
                <w:bCs/>
                <w:color w:val="000000"/>
                <w:sz w:val="18"/>
                <w:szCs w:val="18"/>
                <w:lang w:eastAsia="sl-SI"/>
              </w:rPr>
              <w:t xml:space="preserve"> </w:t>
            </w:r>
          </w:p>
        </w:tc>
        <w:tc>
          <w:tcPr>
            <w:tcW w:w="1134" w:type="dxa"/>
            <w:shd w:val="clear" w:color="auto" w:fill="C2D69B" w:themeFill="accent3" w:themeFillTint="99"/>
            <w:hideMark/>
          </w:tcPr>
          <w:p w14:paraId="2AF70EE9" w14:textId="77777777" w:rsidR="00406A3D" w:rsidRPr="00B21990" w:rsidRDefault="00406A3D" w:rsidP="00406A3D">
            <w:pPr>
              <w:rPr>
                <w:rFonts w:ascii="Verdana" w:eastAsia="Times New Roman" w:hAnsi="Verdana" w:cs="Times New Roman"/>
                <w:b/>
                <w:bCs/>
                <w:color w:val="000000"/>
                <w:sz w:val="20"/>
                <w:szCs w:val="20"/>
                <w:lang w:eastAsia="sl-SI"/>
              </w:rPr>
            </w:pPr>
            <w:r w:rsidRPr="00B21990">
              <w:rPr>
                <w:rFonts w:ascii="Verdana" w:eastAsia="Times New Roman" w:hAnsi="Verdana" w:cs="Times New Roman"/>
                <w:b/>
                <w:bCs/>
                <w:color w:val="000000"/>
                <w:sz w:val="20"/>
                <w:szCs w:val="20"/>
                <w:lang w:eastAsia="sl-SI"/>
              </w:rPr>
              <w:t>B</w:t>
            </w:r>
          </w:p>
          <w:p w14:paraId="6303BA6A" w14:textId="77777777" w:rsidR="00406A3D" w:rsidRPr="00B21990" w:rsidRDefault="00406A3D" w:rsidP="00406A3D">
            <w:pPr>
              <w:rPr>
                <w:rFonts w:ascii="Verdana" w:eastAsia="Times New Roman" w:hAnsi="Verdana" w:cs="Times New Roman"/>
                <w:b/>
                <w:bCs/>
                <w:color w:val="000000"/>
                <w:sz w:val="16"/>
                <w:szCs w:val="16"/>
                <w:lang w:eastAsia="sl-SI"/>
              </w:rPr>
            </w:pPr>
            <w:r w:rsidRPr="00B21990">
              <w:rPr>
                <w:rFonts w:ascii="Verdana" w:eastAsia="Times New Roman" w:hAnsi="Verdana" w:cs="Times New Roman"/>
                <w:b/>
                <w:bCs/>
                <w:color w:val="000000"/>
                <w:sz w:val="16"/>
                <w:szCs w:val="16"/>
                <w:lang w:eastAsia="sl-SI"/>
              </w:rPr>
              <w:t>(področja presoje</w:t>
            </w:r>
            <w:r>
              <w:rPr>
                <w:rFonts w:ascii="Verdana" w:eastAsia="Times New Roman" w:hAnsi="Verdana" w:cs="Times New Roman"/>
                <w:b/>
                <w:bCs/>
                <w:color w:val="000000"/>
                <w:sz w:val="16"/>
                <w:szCs w:val="16"/>
                <w:lang w:eastAsia="sl-SI"/>
              </w:rPr>
              <w:t>)</w:t>
            </w:r>
          </w:p>
        </w:tc>
        <w:tc>
          <w:tcPr>
            <w:tcW w:w="992" w:type="dxa"/>
            <w:shd w:val="clear" w:color="auto" w:fill="C2D69B" w:themeFill="accent3" w:themeFillTint="99"/>
            <w:hideMark/>
          </w:tcPr>
          <w:p w14:paraId="21135013" w14:textId="77777777" w:rsidR="00406A3D" w:rsidRPr="00B21990" w:rsidRDefault="00406A3D" w:rsidP="00406A3D">
            <w:pPr>
              <w:rPr>
                <w:rFonts w:ascii="Verdana" w:eastAsia="Times New Roman" w:hAnsi="Verdana" w:cs="Times New Roman"/>
                <w:b/>
                <w:bCs/>
                <w:color w:val="000000"/>
                <w:sz w:val="20"/>
                <w:szCs w:val="20"/>
                <w:lang w:eastAsia="sl-SI"/>
              </w:rPr>
            </w:pPr>
            <w:r w:rsidRPr="00B21990">
              <w:rPr>
                <w:rFonts w:ascii="Verdana" w:eastAsia="Times New Roman" w:hAnsi="Verdana" w:cs="Times New Roman"/>
                <w:b/>
                <w:bCs/>
                <w:color w:val="000000"/>
                <w:sz w:val="20"/>
                <w:szCs w:val="20"/>
                <w:lang w:eastAsia="sl-SI"/>
              </w:rPr>
              <w:t>C</w:t>
            </w:r>
          </w:p>
          <w:p w14:paraId="7CF39B07" w14:textId="77777777" w:rsidR="00406A3D" w:rsidRPr="00B21990" w:rsidRDefault="00406A3D" w:rsidP="00406A3D">
            <w:pPr>
              <w:rPr>
                <w:rFonts w:ascii="Verdana" w:eastAsia="Times New Roman" w:hAnsi="Verdana" w:cs="Times New Roman"/>
                <w:b/>
                <w:bCs/>
                <w:color w:val="000000"/>
                <w:sz w:val="16"/>
                <w:szCs w:val="16"/>
                <w:lang w:eastAsia="sl-SI"/>
              </w:rPr>
            </w:pPr>
            <w:r w:rsidRPr="00B21990">
              <w:rPr>
                <w:rFonts w:ascii="Verdana" w:eastAsia="Times New Roman" w:hAnsi="Verdana" w:cs="Times New Roman"/>
                <w:b/>
                <w:bCs/>
                <w:color w:val="000000"/>
                <w:sz w:val="16"/>
                <w:szCs w:val="16"/>
                <w:lang w:eastAsia="sl-SI"/>
              </w:rPr>
              <w:t>(vrednote)</w:t>
            </w:r>
          </w:p>
        </w:tc>
      </w:tr>
      <w:tr w:rsidR="003840FD" w:rsidRPr="00E525AF" w14:paraId="7562CD10" w14:textId="77777777" w:rsidTr="00E072DF">
        <w:trPr>
          <w:trHeight w:val="464"/>
        </w:trPr>
        <w:tc>
          <w:tcPr>
            <w:tcW w:w="9923" w:type="dxa"/>
            <w:gridSpan w:val="6"/>
            <w:shd w:val="clear" w:color="auto" w:fill="E5B8B7" w:themeFill="accent2" w:themeFillTint="66"/>
            <w:noWrap/>
            <w:hideMark/>
          </w:tcPr>
          <w:p w14:paraId="2B67C786" w14:textId="77777777" w:rsidR="003840FD" w:rsidRDefault="003840FD" w:rsidP="00406A3D">
            <w:pPr>
              <w:rPr>
                <w:rFonts w:ascii="Verdana" w:eastAsia="Times New Roman" w:hAnsi="Verdana" w:cs="Times New Roman"/>
                <w:b/>
                <w:bCs/>
                <w:color w:val="000000"/>
                <w:sz w:val="20"/>
                <w:szCs w:val="20"/>
                <w:lang w:eastAsia="sl-SI"/>
              </w:rPr>
            </w:pPr>
          </w:p>
          <w:p w14:paraId="609E13BB" w14:textId="77777777" w:rsidR="003840FD" w:rsidRPr="00E525AF" w:rsidRDefault="003840FD" w:rsidP="00406A3D">
            <w:pPr>
              <w:rPr>
                <w:rFonts w:ascii="Verdana" w:eastAsia="Times New Roman" w:hAnsi="Verdana" w:cs="Times New Roman"/>
                <w:b/>
                <w:bCs/>
                <w:color w:val="000000"/>
                <w:sz w:val="20"/>
                <w:szCs w:val="20"/>
                <w:lang w:eastAsia="sl-SI"/>
              </w:rPr>
            </w:pPr>
            <w:r w:rsidRPr="00E525AF">
              <w:rPr>
                <w:rFonts w:ascii="Verdana" w:eastAsia="Times New Roman" w:hAnsi="Verdana" w:cs="Times New Roman"/>
                <w:b/>
                <w:bCs/>
                <w:color w:val="000000"/>
                <w:sz w:val="20"/>
                <w:szCs w:val="20"/>
                <w:lang w:eastAsia="sl-SI"/>
              </w:rPr>
              <w:t xml:space="preserve">Merila in drugi predpisi s področja kakovosti (obravnava na seji sveta) </w:t>
            </w:r>
          </w:p>
          <w:p w14:paraId="3993C7BF" w14:textId="0C4A9594" w:rsidR="003840FD" w:rsidRPr="00E525AF" w:rsidRDefault="003840FD" w:rsidP="00406A3D">
            <w:pPr>
              <w:rPr>
                <w:rFonts w:ascii="Verdana" w:eastAsia="Times New Roman" w:hAnsi="Verdana" w:cs="Times New Roman"/>
                <w:b/>
                <w:bCs/>
                <w:color w:val="000000"/>
                <w:sz w:val="20"/>
                <w:szCs w:val="20"/>
                <w:lang w:eastAsia="sl-SI"/>
              </w:rPr>
            </w:pPr>
            <w:r w:rsidRPr="00E525AF">
              <w:rPr>
                <w:rFonts w:ascii="Verdana" w:eastAsia="Times New Roman" w:hAnsi="Verdana" w:cs="Times New Roman"/>
                <w:b/>
                <w:bCs/>
                <w:color w:val="000000"/>
                <w:sz w:val="20"/>
                <w:szCs w:val="20"/>
                <w:lang w:eastAsia="sl-SI"/>
              </w:rPr>
              <w:t> </w:t>
            </w:r>
          </w:p>
        </w:tc>
      </w:tr>
      <w:tr w:rsidR="00406A3D" w:rsidRPr="00E525AF" w14:paraId="75D1E116" w14:textId="77777777" w:rsidTr="00406A3D">
        <w:trPr>
          <w:trHeight w:val="765"/>
        </w:trPr>
        <w:tc>
          <w:tcPr>
            <w:tcW w:w="2694" w:type="dxa"/>
            <w:hideMark/>
          </w:tcPr>
          <w:p w14:paraId="6A61E77B"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 xml:space="preserve">Merila za akreditacijo in zunanjo evalvacijo visokošolskih zavodov in študijskih programov </w:t>
            </w:r>
          </w:p>
        </w:tc>
        <w:tc>
          <w:tcPr>
            <w:tcW w:w="2976" w:type="dxa"/>
            <w:hideMark/>
          </w:tcPr>
          <w:p w14:paraId="48FA3F83"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Natančnejša določitev standardov kakovosti in vsebine njihove presoje za akreditacijo doktorskih študijskih programov.</w:t>
            </w:r>
          </w:p>
        </w:tc>
        <w:tc>
          <w:tcPr>
            <w:tcW w:w="1276" w:type="dxa"/>
            <w:hideMark/>
          </w:tcPr>
          <w:p w14:paraId="436358A9" w14:textId="7DFCEBBD" w:rsidR="00406A3D" w:rsidRPr="00E525AF" w:rsidRDefault="00406A3D" w:rsidP="00ED351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DELNO</w:t>
            </w:r>
            <w:r>
              <w:rPr>
                <w:rFonts w:ascii="Verdana" w:eastAsia="Times New Roman" w:hAnsi="Verdana" w:cs="Times New Roman"/>
                <w:color w:val="000000"/>
                <w:sz w:val="20"/>
                <w:szCs w:val="20"/>
                <w:lang w:eastAsia="sl-SI"/>
              </w:rPr>
              <w:t xml:space="preserve">; novi datum 1. </w:t>
            </w:r>
            <w:r w:rsidR="00ED351D">
              <w:rPr>
                <w:rFonts w:ascii="Verdana" w:eastAsia="Times New Roman" w:hAnsi="Verdana" w:cs="Times New Roman"/>
                <w:color w:val="000000"/>
                <w:sz w:val="20"/>
                <w:szCs w:val="20"/>
                <w:lang w:eastAsia="sl-SI"/>
              </w:rPr>
              <w:t>4</w:t>
            </w:r>
            <w:r>
              <w:rPr>
                <w:rFonts w:ascii="Verdana" w:eastAsia="Times New Roman" w:hAnsi="Verdana" w:cs="Times New Roman"/>
                <w:color w:val="000000"/>
                <w:sz w:val="20"/>
                <w:szCs w:val="20"/>
                <w:lang w:eastAsia="sl-SI"/>
              </w:rPr>
              <w:t>. 2019</w:t>
            </w:r>
          </w:p>
        </w:tc>
        <w:tc>
          <w:tcPr>
            <w:tcW w:w="851" w:type="dxa"/>
            <w:hideMark/>
          </w:tcPr>
          <w:p w14:paraId="554D1D97"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w:t>
            </w:r>
          </w:p>
        </w:tc>
        <w:tc>
          <w:tcPr>
            <w:tcW w:w="1134" w:type="dxa"/>
            <w:hideMark/>
          </w:tcPr>
          <w:p w14:paraId="0A750DAA"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w:t>
            </w:r>
          </w:p>
        </w:tc>
        <w:tc>
          <w:tcPr>
            <w:tcW w:w="992" w:type="dxa"/>
            <w:hideMark/>
          </w:tcPr>
          <w:p w14:paraId="4799E423"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r>
      <w:tr w:rsidR="00406A3D" w:rsidRPr="00E525AF" w14:paraId="3D3050BA" w14:textId="77777777" w:rsidTr="00406A3D">
        <w:trPr>
          <w:trHeight w:val="237"/>
        </w:trPr>
        <w:tc>
          <w:tcPr>
            <w:tcW w:w="2694" w:type="dxa"/>
            <w:hideMark/>
          </w:tcPr>
          <w:p w14:paraId="0FB5090C"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Merila za zunanjo evalvacijo višjih strokovnih šol</w:t>
            </w:r>
          </w:p>
        </w:tc>
        <w:tc>
          <w:tcPr>
            <w:tcW w:w="2976" w:type="dxa"/>
            <w:hideMark/>
          </w:tcPr>
          <w:p w14:paraId="2F28D52C"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Posodobitev predpisa: sestava skupine strokovnjakov (brez tujega strokovnjaka).</w:t>
            </w:r>
          </w:p>
        </w:tc>
        <w:tc>
          <w:tcPr>
            <w:tcW w:w="1276" w:type="dxa"/>
            <w:hideMark/>
          </w:tcPr>
          <w:p w14:paraId="4C86BB38"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hideMark/>
          </w:tcPr>
          <w:p w14:paraId="67C9430F"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w:t>
            </w:r>
          </w:p>
        </w:tc>
        <w:tc>
          <w:tcPr>
            <w:tcW w:w="1134" w:type="dxa"/>
            <w:hideMark/>
          </w:tcPr>
          <w:p w14:paraId="2F1E8FFC"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w:t>
            </w:r>
          </w:p>
        </w:tc>
        <w:tc>
          <w:tcPr>
            <w:tcW w:w="992" w:type="dxa"/>
            <w:hideMark/>
          </w:tcPr>
          <w:p w14:paraId="428681DA"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r>
      <w:tr w:rsidR="00406A3D" w:rsidRPr="00E525AF" w14:paraId="001FE4EF" w14:textId="77777777" w:rsidTr="00406A3D">
        <w:trPr>
          <w:trHeight w:val="510"/>
        </w:trPr>
        <w:tc>
          <w:tcPr>
            <w:tcW w:w="2694" w:type="dxa"/>
            <w:hideMark/>
          </w:tcPr>
          <w:p w14:paraId="0195C2D2"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 xml:space="preserve">Merila za kreditno vrednotenje študijskih </w:t>
            </w:r>
            <w:r w:rsidRPr="00E525AF">
              <w:rPr>
                <w:rFonts w:ascii="Verdana" w:eastAsia="Times New Roman" w:hAnsi="Verdana" w:cs="Times New Roman"/>
                <w:color w:val="000000"/>
                <w:sz w:val="20"/>
                <w:szCs w:val="20"/>
                <w:lang w:eastAsia="sl-SI"/>
              </w:rPr>
              <w:lastRenderedPageBreak/>
              <w:t>programov po ECTS</w:t>
            </w:r>
          </w:p>
        </w:tc>
        <w:tc>
          <w:tcPr>
            <w:tcW w:w="2976" w:type="dxa"/>
            <w:hideMark/>
          </w:tcPr>
          <w:p w14:paraId="695F9E32"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lastRenderedPageBreak/>
              <w:t xml:space="preserve">Uskladitev meril s spremembo ECTS </w:t>
            </w:r>
            <w:r w:rsidRPr="00E525AF">
              <w:rPr>
                <w:rFonts w:ascii="Verdana" w:eastAsia="Times New Roman" w:hAnsi="Verdana" w:cs="Times New Roman"/>
                <w:color w:val="000000"/>
                <w:sz w:val="20"/>
                <w:szCs w:val="20"/>
                <w:lang w:eastAsia="sl-SI"/>
              </w:rPr>
              <w:lastRenderedPageBreak/>
              <w:t>(evropski kreditni sistem.)</w:t>
            </w:r>
          </w:p>
        </w:tc>
        <w:tc>
          <w:tcPr>
            <w:tcW w:w="1276" w:type="dxa"/>
            <w:hideMark/>
          </w:tcPr>
          <w:p w14:paraId="1444CEF1" w14:textId="6AECA4D3"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lastRenderedPageBreak/>
              <w:t>DELNO</w:t>
            </w:r>
            <w:r>
              <w:rPr>
                <w:rFonts w:ascii="Verdana" w:eastAsia="Times New Roman" w:hAnsi="Verdana" w:cs="Times New Roman"/>
                <w:color w:val="000000"/>
                <w:sz w:val="20"/>
                <w:szCs w:val="20"/>
                <w:lang w:eastAsia="sl-SI"/>
              </w:rPr>
              <w:t xml:space="preserve">; novi </w:t>
            </w:r>
            <w:r>
              <w:rPr>
                <w:rFonts w:ascii="Verdana" w:eastAsia="Times New Roman" w:hAnsi="Verdana" w:cs="Times New Roman"/>
                <w:color w:val="000000"/>
                <w:sz w:val="20"/>
                <w:szCs w:val="20"/>
                <w:lang w:eastAsia="sl-SI"/>
              </w:rPr>
              <w:lastRenderedPageBreak/>
              <w:t>datum 1</w:t>
            </w:r>
            <w:r w:rsidR="00ED351D">
              <w:rPr>
                <w:rFonts w:ascii="Verdana" w:eastAsia="Times New Roman" w:hAnsi="Verdana" w:cs="Times New Roman"/>
                <w:color w:val="000000"/>
                <w:sz w:val="20"/>
                <w:szCs w:val="20"/>
                <w:lang w:eastAsia="sl-SI"/>
              </w:rPr>
              <w:t>5</w:t>
            </w:r>
            <w:r>
              <w:rPr>
                <w:rFonts w:ascii="Verdana" w:eastAsia="Times New Roman" w:hAnsi="Verdana" w:cs="Times New Roman"/>
                <w:color w:val="000000"/>
                <w:sz w:val="20"/>
                <w:szCs w:val="20"/>
                <w:lang w:eastAsia="sl-SI"/>
              </w:rPr>
              <w:t>. 2. 2019</w:t>
            </w:r>
          </w:p>
        </w:tc>
        <w:tc>
          <w:tcPr>
            <w:tcW w:w="851" w:type="dxa"/>
            <w:hideMark/>
          </w:tcPr>
          <w:p w14:paraId="2EC3AC46"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lastRenderedPageBreak/>
              <w:t>d</w:t>
            </w:r>
          </w:p>
        </w:tc>
        <w:tc>
          <w:tcPr>
            <w:tcW w:w="1134" w:type="dxa"/>
            <w:hideMark/>
          </w:tcPr>
          <w:p w14:paraId="23B4C02A"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w:t>
            </w:r>
          </w:p>
        </w:tc>
        <w:tc>
          <w:tcPr>
            <w:tcW w:w="992" w:type="dxa"/>
            <w:hideMark/>
          </w:tcPr>
          <w:p w14:paraId="683CD0B7"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r>
      <w:tr w:rsidR="00406A3D" w:rsidRPr="00E525AF" w14:paraId="238E9F31" w14:textId="77777777" w:rsidTr="00406A3D">
        <w:trPr>
          <w:trHeight w:val="510"/>
        </w:trPr>
        <w:tc>
          <w:tcPr>
            <w:tcW w:w="2694" w:type="dxa"/>
            <w:hideMark/>
          </w:tcPr>
          <w:p w14:paraId="629E603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lastRenderedPageBreak/>
              <w:t>Merila za prehode med študijskimi programi</w:t>
            </w:r>
          </w:p>
        </w:tc>
        <w:tc>
          <w:tcPr>
            <w:tcW w:w="2976" w:type="dxa"/>
            <w:hideMark/>
          </w:tcPr>
          <w:p w14:paraId="70DF05EF"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Posodobitev meril: definicija prehoda, prenehanje predbolonjskih študijskih programov.</w:t>
            </w:r>
          </w:p>
        </w:tc>
        <w:tc>
          <w:tcPr>
            <w:tcW w:w="1276" w:type="dxa"/>
            <w:hideMark/>
          </w:tcPr>
          <w:p w14:paraId="36F3A121"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DELNO</w:t>
            </w:r>
            <w:r>
              <w:rPr>
                <w:rFonts w:ascii="Verdana" w:eastAsia="Times New Roman" w:hAnsi="Verdana" w:cs="Times New Roman"/>
                <w:color w:val="000000"/>
                <w:sz w:val="20"/>
                <w:szCs w:val="20"/>
                <w:lang w:eastAsia="sl-SI"/>
              </w:rPr>
              <w:t>; novi datum 17. 1. 2019</w:t>
            </w:r>
          </w:p>
        </w:tc>
        <w:tc>
          <w:tcPr>
            <w:tcW w:w="851" w:type="dxa"/>
            <w:hideMark/>
          </w:tcPr>
          <w:p w14:paraId="3B7939D8"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w:t>
            </w:r>
          </w:p>
        </w:tc>
        <w:tc>
          <w:tcPr>
            <w:tcW w:w="1134" w:type="dxa"/>
            <w:hideMark/>
          </w:tcPr>
          <w:p w14:paraId="34ACD88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w:t>
            </w:r>
          </w:p>
        </w:tc>
        <w:tc>
          <w:tcPr>
            <w:tcW w:w="992" w:type="dxa"/>
            <w:hideMark/>
          </w:tcPr>
          <w:p w14:paraId="65FC8531"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r>
      <w:tr w:rsidR="00406A3D" w:rsidRPr="00E525AF" w14:paraId="0B45DC91" w14:textId="77777777" w:rsidTr="00406A3D">
        <w:trPr>
          <w:trHeight w:val="675"/>
        </w:trPr>
        <w:tc>
          <w:tcPr>
            <w:tcW w:w="2694" w:type="dxa"/>
            <w:hideMark/>
          </w:tcPr>
          <w:p w14:paraId="317DCDFA"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Minimalni standardi za izvolitev v nazive visokošolskih učiteljev, znanstvenih delavcev in visokošolskih sodelavcev na visokošolskih zavodih</w:t>
            </w:r>
          </w:p>
        </w:tc>
        <w:tc>
          <w:tcPr>
            <w:tcW w:w="2976" w:type="dxa"/>
            <w:hideMark/>
          </w:tcPr>
          <w:p w14:paraId="4253CBFB"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Posodobitev standardov; večji poudarek kakovosti in odmevnosti objav, pedagoškim kompetencam.</w:t>
            </w:r>
          </w:p>
        </w:tc>
        <w:tc>
          <w:tcPr>
            <w:tcW w:w="1276" w:type="dxa"/>
            <w:hideMark/>
          </w:tcPr>
          <w:p w14:paraId="23C5460F" w14:textId="1F1903B0" w:rsidR="00406A3D" w:rsidRPr="00E525AF" w:rsidRDefault="00406A3D" w:rsidP="00DA4DA2">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DELNO</w:t>
            </w:r>
            <w:r>
              <w:rPr>
                <w:rFonts w:ascii="Verdana" w:eastAsia="Times New Roman" w:hAnsi="Verdana" w:cs="Times New Roman"/>
                <w:color w:val="000000"/>
                <w:sz w:val="20"/>
                <w:szCs w:val="20"/>
                <w:lang w:eastAsia="sl-SI"/>
              </w:rPr>
              <w:t xml:space="preserve">; novi datum </w:t>
            </w:r>
            <w:r w:rsidR="00DA4DA2">
              <w:rPr>
                <w:rFonts w:ascii="Verdana" w:eastAsia="Times New Roman" w:hAnsi="Verdana" w:cs="Times New Roman"/>
                <w:color w:val="000000"/>
                <w:sz w:val="20"/>
                <w:szCs w:val="20"/>
                <w:lang w:eastAsia="sl-SI"/>
              </w:rPr>
              <w:t>30</w:t>
            </w:r>
            <w:r>
              <w:rPr>
                <w:rFonts w:ascii="Verdana" w:eastAsia="Times New Roman" w:hAnsi="Verdana" w:cs="Times New Roman"/>
                <w:color w:val="000000"/>
                <w:sz w:val="20"/>
                <w:szCs w:val="20"/>
                <w:lang w:eastAsia="sl-SI"/>
              </w:rPr>
              <w:t xml:space="preserve">. </w:t>
            </w:r>
            <w:r w:rsidR="00DA4DA2">
              <w:rPr>
                <w:rFonts w:ascii="Verdana" w:eastAsia="Times New Roman" w:hAnsi="Verdana" w:cs="Times New Roman"/>
                <w:color w:val="000000"/>
                <w:sz w:val="20"/>
                <w:szCs w:val="20"/>
                <w:lang w:eastAsia="sl-SI"/>
              </w:rPr>
              <w:t>9</w:t>
            </w:r>
            <w:r>
              <w:rPr>
                <w:rFonts w:ascii="Verdana" w:eastAsia="Times New Roman" w:hAnsi="Verdana" w:cs="Times New Roman"/>
                <w:color w:val="000000"/>
                <w:sz w:val="20"/>
                <w:szCs w:val="20"/>
                <w:lang w:eastAsia="sl-SI"/>
              </w:rPr>
              <w:t>. 2019</w:t>
            </w:r>
          </w:p>
        </w:tc>
        <w:tc>
          <w:tcPr>
            <w:tcW w:w="851" w:type="dxa"/>
            <w:hideMark/>
          </w:tcPr>
          <w:p w14:paraId="621D7A2D"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w:t>
            </w:r>
          </w:p>
        </w:tc>
        <w:tc>
          <w:tcPr>
            <w:tcW w:w="1134" w:type="dxa"/>
            <w:hideMark/>
          </w:tcPr>
          <w:p w14:paraId="1FE4EA30"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w:t>
            </w:r>
          </w:p>
        </w:tc>
        <w:tc>
          <w:tcPr>
            <w:tcW w:w="992" w:type="dxa"/>
            <w:hideMark/>
          </w:tcPr>
          <w:p w14:paraId="2BF9051C"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r>
      <w:tr w:rsidR="00406A3D" w:rsidRPr="00E525AF" w14:paraId="10012E1E" w14:textId="77777777" w:rsidTr="00406A3D">
        <w:trPr>
          <w:trHeight w:val="510"/>
        </w:trPr>
        <w:tc>
          <w:tcPr>
            <w:tcW w:w="2694" w:type="dxa"/>
            <w:hideMark/>
          </w:tcPr>
          <w:p w14:paraId="122B4E8A" w14:textId="77777777" w:rsidR="00406A3D" w:rsidRPr="00E525AF" w:rsidRDefault="00406A3D" w:rsidP="00406A3D">
            <w:pPr>
              <w:rPr>
                <w:rFonts w:ascii="Verdana" w:eastAsia="Times New Roman" w:hAnsi="Verdana" w:cs="Times New Roman"/>
                <w:color w:val="000000"/>
                <w:sz w:val="20"/>
                <w:szCs w:val="20"/>
                <w:lang w:eastAsia="sl-SI"/>
              </w:rPr>
            </w:pPr>
            <w:r>
              <w:rPr>
                <w:rFonts w:ascii="Verdana" w:eastAsia="Times New Roman" w:hAnsi="Verdana" w:cs="Times New Roman"/>
                <w:color w:val="000000"/>
                <w:sz w:val="20"/>
                <w:szCs w:val="20"/>
                <w:lang w:eastAsia="sl-SI"/>
              </w:rPr>
              <w:t>Postopkovnik</w:t>
            </w:r>
            <w:r w:rsidRPr="00E525AF">
              <w:rPr>
                <w:rFonts w:ascii="Verdana" w:eastAsia="Times New Roman" w:hAnsi="Verdana" w:cs="Times New Roman"/>
                <w:color w:val="000000"/>
                <w:sz w:val="20"/>
                <w:szCs w:val="20"/>
                <w:lang w:eastAsia="sl-SI"/>
              </w:rPr>
              <w:t xml:space="preserve"> o reguliranih poklicih</w:t>
            </w:r>
          </w:p>
        </w:tc>
        <w:tc>
          <w:tcPr>
            <w:tcW w:w="2976" w:type="dxa"/>
            <w:hideMark/>
          </w:tcPr>
          <w:p w14:paraId="2270CFE3"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Ureditev faz postopka pri pridobivanju soglasij pristojnih ministrstev.</w:t>
            </w:r>
          </w:p>
        </w:tc>
        <w:tc>
          <w:tcPr>
            <w:tcW w:w="1276" w:type="dxa"/>
            <w:hideMark/>
          </w:tcPr>
          <w:p w14:paraId="5CE40371" w14:textId="137C138A"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NE</w:t>
            </w:r>
            <w:r>
              <w:rPr>
                <w:rFonts w:ascii="Verdana" w:eastAsia="Times New Roman" w:hAnsi="Verdana" w:cs="Times New Roman"/>
                <w:color w:val="000000"/>
                <w:sz w:val="20"/>
                <w:szCs w:val="20"/>
                <w:lang w:eastAsia="sl-SI"/>
              </w:rPr>
              <w:t>; novi datum 1</w:t>
            </w:r>
            <w:r w:rsidR="00ED351D">
              <w:rPr>
                <w:rFonts w:ascii="Verdana" w:eastAsia="Times New Roman" w:hAnsi="Verdana" w:cs="Times New Roman"/>
                <w:color w:val="000000"/>
                <w:sz w:val="20"/>
                <w:szCs w:val="20"/>
                <w:lang w:eastAsia="sl-SI"/>
              </w:rPr>
              <w:t>5</w:t>
            </w:r>
            <w:r>
              <w:rPr>
                <w:rFonts w:ascii="Verdana" w:eastAsia="Times New Roman" w:hAnsi="Verdana" w:cs="Times New Roman"/>
                <w:color w:val="000000"/>
                <w:sz w:val="20"/>
                <w:szCs w:val="20"/>
                <w:lang w:eastAsia="sl-SI"/>
              </w:rPr>
              <w:t>. 3. 2019</w:t>
            </w:r>
          </w:p>
        </w:tc>
        <w:tc>
          <w:tcPr>
            <w:tcW w:w="851" w:type="dxa"/>
            <w:hideMark/>
          </w:tcPr>
          <w:p w14:paraId="3264E6EF"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w:t>
            </w:r>
          </w:p>
        </w:tc>
        <w:tc>
          <w:tcPr>
            <w:tcW w:w="1134" w:type="dxa"/>
            <w:hideMark/>
          </w:tcPr>
          <w:p w14:paraId="63FC3357"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w:t>
            </w:r>
          </w:p>
        </w:tc>
        <w:tc>
          <w:tcPr>
            <w:tcW w:w="992" w:type="dxa"/>
            <w:hideMark/>
          </w:tcPr>
          <w:p w14:paraId="5D4A8C9C"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r>
      <w:tr w:rsidR="003840FD" w:rsidRPr="00E525AF" w14:paraId="18C339EF" w14:textId="77777777" w:rsidTr="00580769">
        <w:trPr>
          <w:trHeight w:val="750"/>
        </w:trPr>
        <w:tc>
          <w:tcPr>
            <w:tcW w:w="9923" w:type="dxa"/>
            <w:gridSpan w:val="6"/>
            <w:shd w:val="clear" w:color="auto" w:fill="E5B8B7" w:themeFill="accent2" w:themeFillTint="66"/>
            <w:hideMark/>
          </w:tcPr>
          <w:p w14:paraId="12BD0B35" w14:textId="77777777" w:rsidR="003840FD" w:rsidRDefault="003840FD" w:rsidP="00406A3D">
            <w:pPr>
              <w:rPr>
                <w:rFonts w:ascii="Verdana" w:eastAsia="Times New Roman" w:hAnsi="Verdana" w:cs="Times New Roman"/>
                <w:b/>
                <w:bCs/>
                <w:color w:val="000000"/>
                <w:sz w:val="20"/>
                <w:szCs w:val="20"/>
                <w:lang w:eastAsia="sl-SI"/>
              </w:rPr>
            </w:pPr>
          </w:p>
          <w:p w14:paraId="26D01BB2" w14:textId="4C4F3CAE" w:rsidR="003840FD" w:rsidRPr="00E525AF" w:rsidRDefault="003840FD" w:rsidP="00406A3D">
            <w:pPr>
              <w:rPr>
                <w:rFonts w:ascii="Verdana" w:eastAsia="Times New Roman" w:hAnsi="Verdana" w:cs="Times New Roman"/>
                <w:b/>
                <w:bCs/>
                <w:color w:val="000000"/>
                <w:sz w:val="20"/>
                <w:szCs w:val="20"/>
                <w:lang w:eastAsia="sl-SI"/>
              </w:rPr>
            </w:pPr>
            <w:r w:rsidRPr="00E525AF">
              <w:rPr>
                <w:rFonts w:ascii="Verdana" w:eastAsia="Times New Roman" w:hAnsi="Verdana" w:cs="Times New Roman"/>
                <w:b/>
                <w:bCs/>
                <w:color w:val="000000"/>
                <w:sz w:val="20"/>
                <w:szCs w:val="20"/>
                <w:lang w:eastAsia="sl-SI"/>
              </w:rPr>
              <w:t xml:space="preserve">Akreditacije in evalvacije </w:t>
            </w:r>
          </w:p>
        </w:tc>
      </w:tr>
      <w:tr w:rsidR="00406A3D" w:rsidRPr="00E525AF" w14:paraId="2C506C4A" w14:textId="77777777" w:rsidTr="00406A3D">
        <w:trPr>
          <w:trHeight w:val="765"/>
        </w:trPr>
        <w:tc>
          <w:tcPr>
            <w:tcW w:w="2694" w:type="dxa"/>
            <w:hideMark/>
          </w:tcPr>
          <w:p w14:paraId="14923721"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Dodeljevanje vlog in spremljanje dela zaposlenih</w:t>
            </w:r>
          </w:p>
        </w:tc>
        <w:tc>
          <w:tcPr>
            <w:tcW w:w="2976" w:type="dxa"/>
            <w:hideMark/>
          </w:tcPr>
          <w:p w14:paraId="4859B465"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Vzpostavitev načina pregleda nad delom strokovnih delavcev in tedensko poročanje o stanju; spletni rokovnik.</w:t>
            </w:r>
          </w:p>
        </w:tc>
        <w:tc>
          <w:tcPr>
            <w:tcW w:w="1276" w:type="dxa"/>
            <w:hideMark/>
          </w:tcPr>
          <w:p w14:paraId="346A6481"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hideMark/>
          </w:tcPr>
          <w:p w14:paraId="709E6C39"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c>
          <w:tcPr>
            <w:tcW w:w="1134" w:type="dxa"/>
            <w:hideMark/>
          </w:tcPr>
          <w:p w14:paraId="08AAABDD"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b</w:t>
            </w:r>
          </w:p>
        </w:tc>
        <w:tc>
          <w:tcPr>
            <w:tcW w:w="992" w:type="dxa"/>
            <w:hideMark/>
          </w:tcPr>
          <w:p w14:paraId="168FF902"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r>
      <w:tr w:rsidR="00406A3D" w:rsidRPr="00E525AF" w14:paraId="5A6B74D2" w14:textId="77777777" w:rsidTr="00406A3D">
        <w:trPr>
          <w:trHeight w:val="1020"/>
        </w:trPr>
        <w:tc>
          <w:tcPr>
            <w:tcW w:w="2694" w:type="dxa"/>
            <w:hideMark/>
          </w:tcPr>
          <w:p w14:paraId="24570CF4"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Usklajevanje (umerjanje) dela</w:t>
            </w:r>
          </w:p>
        </w:tc>
        <w:tc>
          <w:tcPr>
            <w:tcW w:w="2976" w:type="dxa"/>
            <w:hideMark/>
          </w:tcPr>
          <w:p w14:paraId="3A98BDB7"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Usklajevanje dela strokovnih delavcev: spoštovanje postopkovnikov, evalvacije študijskih programov, usposabljanje kandidatov za strokovnjake, ki bodo sodelovali v postopkih.</w:t>
            </w:r>
          </w:p>
        </w:tc>
        <w:tc>
          <w:tcPr>
            <w:tcW w:w="1276" w:type="dxa"/>
            <w:hideMark/>
          </w:tcPr>
          <w:p w14:paraId="10B2DD7D"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hideMark/>
          </w:tcPr>
          <w:p w14:paraId="38E7CD3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c>
          <w:tcPr>
            <w:tcW w:w="1134" w:type="dxa"/>
            <w:hideMark/>
          </w:tcPr>
          <w:p w14:paraId="2FB98C48"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b</w:t>
            </w:r>
          </w:p>
        </w:tc>
        <w:tc>
          <w:tcPr>
            <w:tcW w:w="992" w:type="dxa"/>
            <w:hideMark/>
          </w:tcPr>
          <w:p w14:paraId="7C4767F1"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r>
      <w:tr w:rsidR="00406A3D" w:rsidRPr="00E525AF" w14:paraId="3D8D570D" w14:textId="77777777" w:rsidTr="00406A3D">
        <w:trPr>
          <w:trHeight w:val="1020"/>
        </w:trPr>
        <w:tc>
          <w:tcPr>
            <w:tcW w:w="2694" w:type="dxa"/>
            <w:hideMark/>
          </w:tcPr>
          <w:p w14:paraId="676D8842"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Priprava postopkovnika za akreditacije in evalvacije</w:t>
            </w:r>
          </w:p>
        </w:tc>
        <w:tc>
          <w:tcPr>
            <w:tcW w:w="2976" w:type="dxa"/>
            <w:hideMark/>
          </w:tcPr>
          <w:p w14:paraId="7011425C"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 xml:space="preserve">Postopkovnik bo podrobno določal vse faze v akreditacijskih in evalvacijskih postopkih z natančno določenimi roki, ki jih morajo pri vodenju postopkov spoštovati vsi delavci. </w:t>
            </w:r>
          </w:p>
        </w:tc>
        <w:tc>
          <w:tcPr>
            <w:tcW w:w="1276" w:type="dxa"/>
            <w:hideMark/>
          </w:tcPr>
          <w:p w14:paraId="612BC353"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hideMark/>
          </w:tcPr>
          <w:p w14:paraId="66F12363"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c>
          <w:tcPr>
            <w:tcW w:w="1134" w:type="dxa"/>
            <w:hideMark/>
          </w:tcPr>
          <w:p w14:paraId="4BE77DC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c>
          <w:tcPr>
            <w:tcW w:w="992" w:type="dxa"/>
            <w:hideMark/>
          </w:tcPr>
          <w:p w14:paraId="0AD236CF"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r>
      <w:tr w:rsidR="00406A3D" w:rsidRPr="00E525AF" w14:paraId="07160D37" w14:textId="77777777" w:rsidTr="00406A3D">
        <w:trPr>
          <w:trHeight w:val="510"/>
        </w:trPr>
        <w:tc>
          <w:tcPr>
            <w:tcW w:w="2694" w:type="dxa"/>
            <w:hideMark/>
          </w:tcPr>
          <w:p w14:paraId="72515BDF"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 xml:space="preserve">Priprava načrta za evalvacijo vzorca študijskih programov </w:t>
            </w:r>
          </w:p>
        </w:tc>
        <w:tc>
          <w:tcPr>
            <w:tcW w:w="2976" w:type="dxa"/>
            <w:hideMark/>
          </w:tcPr>
          <w:p w14:paraId="363E6529"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Priprava seznama programov, ki bodo zajeti v vzorec, in časovnice za obiske zavodov.</w:t>
            </w:r>
          </w:p>
        </w:tc>
        <w:tc>
          <w:tcPr>
            <w:tcW w:w="1276" w:type="dxa"/>
            <w:hideMark/>
          </w:tcPr>
          <w:p w14:paraId="12BBA5FF"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hideMark/>
          </w:tcPr>
          <w:p w14:paraId="43DBE1C8"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c>
          <w:tcPr>
            <w:tcW w:w="1134" w:type="dxa"/>
            <w:hideMark/>
          </w:tcPr>
          <w:p w14:paraId="65718DB2"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c>
          <w:tcPr>
            <w:tcW w:w="992" w:type="dxa"/>
            <w:hideMark/>
          </w:tcPr>
          <w:p w14:paraId="5055CFE9"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r>
      <w:tr w:rsidR="00406A3D" w:rsidRPr="00E525AF" w14:paraId="5E7F79A5" w14:textId="77777777" w:rsidTr="00406A3D">
        <w:trPr>
          <w:trHeight w:val="510"/>
        </w:trPr>
        <w:tc>
          <w:tcPr>
            <w:tcW w:w="2694" w:type="dxa"/>
            <w:hideMark/>
          </w:tcPr>
          <w:p w14:paraId="7405BC36"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Priprava načrta za zunanjo evalvacijo višjih strokovnih šol</w:t>
            </w:r>
          </w:p>
        </w:tc>
        <w:tc>
          <w:tcPr>
            <w:tcW w:w="2976" w:type="dxa"/>
            <w:hideMark/>
          </w:tcPr>
          <w:p w14:paraId="1B125D87"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 xml:space="preserve">Določitev višjih strokovnih šol, ki bodo evalvirane v prihodnjem letu, in časovnice za obiske šol. </w:t>
            </w:r>
          </w:p>
        </w:tc>
        <w:tc>
          <w:tcPr>
            <w:tcW w:w="1276" w:type="dxa"/>
            <w:hideMark/>
          </w:tcPr>
          <w:p w14:paraId="2A9ACBE7"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hideMark/>
          </w:tcPr>
          <w:p w14:paraId="0F8D17D1"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c>
          <w:tcPr>
            <w:tcW w:w="1134" w:type="dxa"/>
            <w:hideMark/>
          </w:tcPr>
          <w:p w14:paraId="32D75790"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c>
          <w:tcPr>
            <w:tcW w:w="992" w:type="dxa"/>
            <w:hideMark/>
          </w:tcPr>
          <w:p w14:paraId="0A46F05B"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r>
      <w:tr w:rsidR="00406A3D" w:rsidRPr="00E525AF" w14:paraId="3BE24EDF" w14:textId="77777777" w:rsidTr="00406A3D">
        <w:trPr>
          <w:trHeight w:val="510"/>
        </w:trPr>
        <w:tc>
          <w:tcPr>
            <w:tcW w:w="2694" w:type="dxa"/>
            <w:hideMark/>
          </w:tcPr>
          <w:p w14:paraId="5B6A9DAF"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 xml:space="preserve">Priprava predloge za poročilo skupine strokovnjakov o zunanji </w:t>
            </w:r>
            <w:r w:rsidRPr="00E525AF">
              <w:rPr>
                <w:rFonts w:ascii="Verdana" w:eastAsia="Times New Roman" w:hAnsi="Verdana" w:cs="Times New Roman"/>
                <w:color w:val="000000"/>
                <w:sz w:val="20"/>
                <w:szCs w:val="20"/>
                <w:lang w:eastAsia="sl-SI"/>
              </w:rPr>
              <w:lastRenderedPageBreak/>
              <w:t>evalvaciji študijskega programa</w:t>
            </w:r>
          </w:p>
        </w:tc>
        <w:tc>
          <w:tcPr>
            <w:tcW w:w="2976" w:type="dxa"/>
            <w:hideMark/>
          </w:tcPr>
          <w:p w14:paraId="24302E40"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lastRenderedPageBreak/>
              <w:t xml:space="preserve">Predloga po standardih kakovosti za evalvacijo programa in določbah o </w:t>
            </w:r>
            <w:r w:rsidRPr="00E525AF">
              <w:rPr>
                <w:rFonts w:ascii="Verdana" w:eastAsia="Times New Roman" w:hAnsi="Verdana" w:cs="Times New Roman"/>
                <w:color w:val="000000"/>
                <w:sz w:val="20"/>
                <w:szCs w:val="20"/>
                <w:lang w:eastAsia="sl-SI"/>
              </w:rPr>
              <w:lastRenderedPageBreak/>
              <w:t>njihovi presoji z navodili.</w:t>
            </w:r>
          </w:p>
        </w:tc>
        <w:tc>
          <w:tcPr>
            <w:tcW w:w="1276" w:type="dxa"/>
            <w:hideMark/>
          </w:tcPr>
          <w:p w14:paraId="676B0166"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lastRenderedPageBreak/>
              <w:t>DA</w:t>
            </w:r>
          </w:p>
        </w:tc>
        <w:tc>
          <w:tcPr>
            <w:tcW w:w="851" w:type="dxa"/>
            <w:hideMark/>
          </w:tcPr>
          <w:p w14:paraId="0F219015"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c>
          <w:tcPr>
            <w:tcW w:w="1134" w:type="dxa"/>
            <w:hideMark/>
          </w:tcPr>
          <w:p w14:paraId="15A129EF"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c>
          <w:tcPr>
            <w:tcW w:w="992" w:type="dxa"/>
            <w:hideMark/>
          </w:tcPr>
          <w:p w14:paraId="62D2610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r>
      <w:tr w:rsidR="00406A3D" w:rsidRPr="00E525AF" w14:paraId="14123818" w14:textId="77777777" w:rsidTr="00406A3D">
        <w:trPr>
          <w:trHeight w:val="1275"/>
        </w:trPr>
        <w:tc>
          <w:tcPr>
            <w:tcW w:w="2694" w:type="dxa"/>
            <w:hideMark/>
          </w:tcPr>
          <w:p w14:paraId="73F8935B"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lastRenderedPageBreak/>
              <w:t>Priprava predloge za poročila skupine strokovnjakov v zvezi s podaljšanjem akreditacije visokošolskega zavoda</w:t>
            </w:r>
          </w:p>
        </w:tc>
        <w:tc>
          <w:tcPr>
            <w:tcW w:w="2976" w:type="dxa"/>
            <w:hideMark/>
          </w:tcPr>
          <w:p w14:paraId="2239FBCD"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Predloga po standardih kakovosti za podaljšanje akreditacije visokošolskega zavoda in določbah o njihovi presoji z navodili: za ugotovitveno poročilo strokovnjakov ter za akreditacijsko poročilo strokovnjakov.</w:t>
            </w:r>
          </w:p>
        </w:tc>
        <w:tc>
          <w:tcPr>
            <w:tcW w:w="1276" w:type="dxa"/>
            <w:hideMark/>
          </w:tcPr>
          <w:p w14:paraId="257DB6F9"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hideMark/>
          </w:tcPr>
          <w:p w14:paraId="62E13D94"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c>
          <w:tcPr>
            <w:tcW w:w="1134" w:type="dxa"/>
            <w:hideMark/>
          </w:tcPr>
          <w:p w14:paraId="76044FC6"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c>
          <w:tcPr>
            <w:tcW w:w="992" w:type="dxa"/>
            <w:hideMark/>
          </w:tcPr>
          <w:p w14:paraId="1E75462F"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r>
      <w:tr w:rsidR="00406A3D" w:rsidRPr="00E525AF" w14:paraId="1E1B5E35" w14:textId="77777777" w:rsidTr="00406A3D">
        <w:trPr>
          <w:trHeight w:val="237"/>
        </w:trPr>
        <w:tc>
          <w:tcPr>
            <w:tcW w:w="2694" w:type="dxa"/>
            <w:hideMark/>
          </w:tcPr>
          <w:p w14:paraId="19FE9AFB"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Priprava predloge za poročilo skupine strokovnjakov o zunanji evalvaciji višje strokovne šole</w:t>
            </w:r>
          </w:p>
        </w:tc>
        <w:tc>
          <w:tcPr>
            <w:tcW w:w="2976" w:type="dxa"/>
            <w:hideMark/>
          </w:tcPr>
          <w:p w14:paraId="578C53B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Predloga po standardih kakovosti za evalvacijo višje strokovne šole in določbah o njihovi presoji z navodili.</w:t>
            </w:r>
          </w:p>
        </w:tc>
        <w:tc>
          <w:tcPr>
            <w:tcW w:w="1276" w:type="dxa"/>
            <w:hideMark/>
          </w:tcPr>
          <w:p w14:paraId="3D758195"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hideMark/>
          </w:tcPr>
          <w:p w14:paraId="5FF8F7A3"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c>
          <w:tcPr>
            <w:tcW w:w="1134" w:type="dxa"/>
            <w:hideMark/>
          </w:tcPr>
          <w:p w14:paraId="6D40FF21"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c>
          <w:tcPr>
            <w:tcW w:w="992" w:type="dxa"/>
            <w:hideMark/>
          </w:tcPr>
          <w:p w14:paraId="718889CC"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r>
      <w:tr w:rsidR="00406A3D" w:rsidRPr="00E525AF" w14:paraId="32233C41" w14:textId="77777777" w:rsidTr="00406A3D">
        <w:trPr>
          <w:trHeight w:val="765"/>
        </w:trPr>
        <w:tc>
          <w:tcPr>
            <w:tcW w:w="2694" w:type="dxa"/>
            <w:hideMark/>
          </w:tcPr>
          <w:p w14:paraId="1AF9DDEA"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Priprava obrazcev za oddajo gradiva svetu agencije</w:t>
            </w:r>
          </w:p>
        </w:tc>
        <w:tc>
          <w:tcPr>
            <w:tcW w:w="2976" w:type="dxa"/>
            <w:hideMark/>
          </w:tcPr>
          <w:p w14:paraId="7EC3187F"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 xml:space="preserve">Sprememba obrazcev; obrazci bistveno krajši, v njih ne bo več preslikavanja ugotovitev iz poročil strokovnjakov. </w:t>
            </w:r>
          </w:p>
        </w:tc>
        <w:tc>
          <w:tcPr>
            <w:tcW w:w="1276" w:type="dxa"/>
            <w:hideMark/>
          </w:tcPr>
          <w:p w14:paraId="1D8FACB6"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hideMark/>
          </w:tcPr>
          <w:p w14:paraId="2BE17D3D"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c>
          <w:tcPr>
            <w:tcW w:w="1134" w:type="dxa"/>
            <w:hideMark/>
          </w:tcPr>
          <w:p w14:paraId="048E4CB4"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b</w:t>
            </w:r>
          </w:p>
        </w:tc>
        <w:tc>
          <w:tcPr>
            <w:tcW w:w="992" w:type="dxa"/>
            <w:hideMark/>
          </w:tcPr>
          <w:p w14:paraId="62214A10"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r>
      <w:tr w:rsidR="00406A3D" w:rsidRPr="00E525AF" w14:paraId="7ABD9502" w14:textId="77777777" w:rsidTr="00406A3D">
        <w:trPr>
          <w:trHeight w:val="1020"/>
        </w:trPr>
        <w:tc>
          <w:tcPr>
            <w:tcW w:w="2694" w:type="dxa"/>
            <w:hideMark/>
          </w:tcPr>
          <w:p w14:paraId="0CCB476F"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Srečanje s predstavniki komisij za kakovost na zavodih/šolah</w:t>
            </w:r>
          </w:p>
        </w:tc>
        <w:tc>
          <w:tcPr>
            <w:tcW w:w="2976" w:type="dxa"/>
            <w:hideMark/>
          </w:tcPr>
          <w:p w14:paraId="6D801B2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Tolmačenje meril in drugih predpisov, pojasnjevanje postopkov, pomoč pri pripravi na akreditacije in evalvacije (izpolnjevanje in oddajanje vlog, prilog…).</w:t>
            </w:r>
          </w:p>
        </w:tc>
        <w:tc>
          <w:tcPr>
            <w:tcW w:w="1276" w:type="dxa"/>
            <w:hideMark/>
          </w:tcPr>
          <w:p w14:paraId="669F93D8"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hideMark/>
          </w:tcPr>
          <w:p w14:paraId="12F7A11C"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c>
          <w:tcPr>
            <w:tcW w:w="1134" w:type="dxa"/>
            <w:hideMark/>
          </w:tcPr>
          <w:p w14:paraId="40EC6844"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c>
          <w:tcPr>
            <w:tcW w:w="992" w:type="dxa"/>
            <w:hideMark/>
          </w:tcPr>
          <w:p w14:paraId="4868E247"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b</w:t>
            </w:r>
          </w:p>
        </w:tc>
      </w:tr>
      <w:tr w:rsidR="00406A3D" w:rsidRPr="00E525AF" w14:paraId="23D0A42F" w14:textId="77777777" w:rsidTr="00406A3D">
        <w:trPr>
          <w:trHeight w:val="510"/>
        </w:trPr>
        <w:tc>
          <w:tcPr>
            <w:tcW w:w="2694" w:type="dxa"/>
            <w:hideMark/>
          </w:tcPr>
          <w:p w14:paraId="560A580C"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Odbiranje gradiva za Arhiv RS</w:t>
            </w:r>
          </w:p>
        </w:tc>
        <w:tc>
          <w:tcPr>
            <w:tcW w:w="2976" w:type="dxa"/>
            <w:hideMark/>
          </w:tcPr>
          <w:p w14:paraId="65E0BAF8"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Priprava seznama prilog v posvetu z Arhivom RS, odbiranje gradiva in katalogiziranje.</w:t>
            </w:r>
          </w:p>
        </w:tc>
        <w:tc>
          <w:tcPr>
            <w:tcW w:w="1276" w:type="dxa"/>
            <w:hideMark/>
          </w:tcPr>
          <w:p w14:paraId="7971AA89"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NE</w:t>
            </w:r>
            <w:r>
              <w:rPr>
                <w:rFonts w:ascii="Verdana" w:eastAsia="Times New Roman" w:hAnsi="Verdana" w:cs="Times New Roman"/>
                <w:color w:val="000000"/>
                <w:sz w:val="20"/>
                <w:szCs w:val="20"/>
                <w:lang w:eastAsia="sl-SI"/>
              </w:rPr>
              <w:t>; novi datum 30. 1. 2019</w:t>
            </w:r>
          </w:p>
        </w:tc>
        <w:tc>
          <w:tcPr>
            <w:tcW w:w="851" w:type="dxa"/>
            <w:hideMark/>
          </w:tcPr>
          <w:p w14:paraId="18A83FEF"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c>
          <w:tcPr>
            <w:tcW w:w="1134" w:type="dxa"/>
            <w:hideMark/>
          </w:tcPr>
          <w:p w14:paraId="09A97889"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b</w:t>
            </w:r>
          </w:p>
        </w:tc>
        <w:tc>
          <w:tcPr>
            <w:tcW w:w="992" w:type="dxa"/>
            <w:hideMark/>
          </w:tcPr>
          <w:p w14:paraId="4581E8E6"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r>
      <w:tr w:rsidR="00406A3D" w:rsidRPr="00E525AF" w14:paraId="41B4329E" w14:textId="77777777" w:rsidTr="00406A3D">
        <w:trPr>
          <w:trHeight w:val="300"/>
        </w:trPr>
        <w:tc>
          <w:tcPr>
            <w:tcW w:w="2694" w:type="dxa"/>
            <w:hideMark/>
          </w:tcPr>
          <w:p w14:paraId="163776B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Priprava podatkov za CPI</w:t>
            </w:r>
          </w:p>
        </w:tc>
        <w:tc>
          <w:tcPr>
            <w:tcW w:w="2976" w:type="dxa"/>
            <w:hideMark/>
          </w:tcPr>
          <w:p w14:paraId="68D31E6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Priprava poda</w:t>
            </w:r>
            <w:r>
              <w:rPr>
                <w:rFonts w:ascii="Verdana" w:eastAsia="Times New Roman" w:hAnsi="Verdana" w:cs="Times New Roman"/>
                <w:color w:val="000000"/>
                <w:sz w:val="20"/>
                <w:szCs w:val="20"/>
                <w:lang w:eastAsia="sl-SI"/>
              </w:rPr>
              <w:t>t</w:t>
            </w:r>
            <w:r w:rsidRPr="00E525AF">
              <w:rPr>
                <w:rFonts w:ascii="Verdana" w:eastAsia="Times New Roman" w:hAnsi="Verdana" w:cs="Times New Roman"/>
                <w:color w:val="000000"/>
                <w:sz w:val="20"/>
                <w:szCs w:val="20"/>
                <w:lang w:eastAsia="sl-SI"/>
              </w:rPr>
              <w:t>kov v povezavi s kompetencami</w:t>
            </w:r>
          </w:p>
        </w:tc>
        <w:tc>
          <w:tcPr>
            <w:tcW w:w="1276" w:type="dxa"/>
            <w:hideMark/>
          </w:tcPr>
          <w:p w14:paraId="06433FC6"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hideMark/>
          </w:tcPr>
          <w:p w14:paraId="5CF2524A"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c>
          <w:tcPr>
            <w:tcW w:w="1134" w:type="dxa"/>
            <w:hideMark/>
          </w:tcPr>
          <w:p w14:paraId="574BC609"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b</w:t>
            </w:r>
          </w:p>
        </w:tc>
        <w:tc>
          <w:tcPr>
            <w:tcW w:w="992" w:type="dxa"/>
            <w:hideMark/>
          </w:tcPr>
          <w:p w14:paraId="10F9295B"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r>
      <w:tr w:rsidR="00406A3D" w:rsidRPr="00E525AF" w14:paraId="2D4EF4CC" w14:textId="77777777" w:rsidTr="00406A3D">
        <w:trPr>
          <w:trHeight w:val="1065"/>
        </w:trPr>
        <w:tc>
          <w:tcPr>
            <w:tcW w:w="2694" w:type="dxa"/>
            <w:hideMark/>
          </w:tcPr>
          <w:p w14:paraId="3906B7D5"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Srečanje s strokovnjaki - študenti</w:t>
            </w:r>
          </w:p>
        </w:tc>
        <w:tc>
          <w:tcPr>
            <w:tcW w:w="2976" w:type="dxa"/>
            <w:hideMark/>
          </w:tcPr>
          <w:p w14:paraId="51C73773"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Tolmačenje meril in drugih predpisov, pojasnjevanje postopkov, pomoč pri pripravi na akreditacije in evalvacije (izpolnjevanje in oddajanje vlog, prilog…).</w:t>
            </w:r>
          </w:p>
        </w:tc>
        <w:tc>
          <w:tcPr>
            <w:tcW w:w="1276" w:type="dxa"/>
            <w:hideMark/>
          </w:tcPr>
          <w:p w14:paraId="62A72525"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hideMark/>
          </w:tcPr>
          <w:p w14:paraId="4148EBA3"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c>
          <w:tcPr>
            <w:tcW w:w="1134" w:type="dxa"/>
            <w:hideMark/>
          </w:tcPr>
          <w:p w14:paraId="258494F9"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c>
          <w:tcPr>
            <w:tcW w:w="992" w:type="dxa"/>
            <w:hideMark/>
          </w:tcPr>
          <w:p w14:paraId="6A53D63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b</w:t>
            </w:r>
          </w:p>
        </w:tc>
      </w:tr>
    </w:tbl>
    <w:p w14:paraId="4911FBA5" w14:textId="77777777" w:rsidR="00406A3D" w:rsidRDefault="00406A3D" w:rsidP="00406A3D"/>
    <w:p w14:paraId="51EFB1FF" w14:textId="77777777" w:rsidR="00406A3D" w:rsidRPr="00F035E5" w:rsidRDefault="00406A3D" w:rsidP="00406A3D">
      <w:pPr>
        <w:pStyle w:val="Podnaslov"/>
        <w:rPr>
          <w:rFonts w:ascii="Verdana" w:hAnsi="Verdana"/>
          <w:b/>
          <w:color w:val="auto"/>
        </w:rPr>
      </w:pPr>
      <w:r w:rsidRPr="00F035E5">
        <w:rPr>
          <w:rFonts w:ascii="Verdana" w:hAnsi="Verdana"/>
          <w:b/>
          <w:color w:val="auto"/>
        </w:rPr>
        <w:t xml:space="preserve">Pojasnila k pregledu opravljenih nalog </w:t>
      </w:r>
    </w:p>
    <w:p w14:paraId="738C614B" w14:textId="5062A194" w:rsidR="00406A3D" w:rsidRPr="0095699F" w:rsidRDefault="00406A3D" w:rsidP="00406A3D">
      <w:pPr>
        <w:jc w:val="both"/>
        <w:rPr>
          <w:rFonts w:ascii="Verdana" w:eastAsia="Cambria" w:hAnsi="Verdana" w:cs="Times New Roman"/>
        </w:rPr>
      </w:pPr>
      <w:r w:rsidRPr="0095699F">
        <w:rPr>
          <w:rFonts w:ascii="Verdana" w:hAnsi="Verdana"/>
        </w:rPr>
        <w:t xml:space="preserve">Iz preglednice je razvidno, da je sektor za kakovost opravil </w:t>
      </w:r>
      <w:r>
        <w:rPr>
          <w:rFonts w:ascii="Verdana" w:hAnsi="Verdana"/>
        </w:rPr>
        <w:t>večino</w:t>
      </w:r>
      <w:r w:rsidRPr="0095699F">
        <w:rPr>
          <w:rFonts w:ascii="Verdana" w:hAnsi="Verdana"/>
        </w:rPr>
        <w:t xml:space="preserve"> nalog, ki si jih je postavil. </w:t>
      </w:r>
      <w:r>
        <w:rPr>
          <w:rFonts w:ascii="Verdana" w:hAnsi="Verdana"/>
        </w:rPr>
        <w:t xml:space="preserve">V drugi polovici leta 2018 je imel veliko dela na področju </w:t>
      </w:r>
      <w:r w:rsidRPr="0095699F">
        <w:rPr>
          <w:rFonts w:ascii="Verdana" w:hAnsi="Verdana"/>
          <w:b/>
        </w:rPr>
        <w:t>akreditacij in evalvacij</w:t>
      </w:r>
      <w:r>
        <w:rPr>
          <w:rFonts w:ascii="Verdana" w:hAnsi="Verdana"/>
        </w:rPr>
        <w:t xml:space="preserve">, saj je v tem letu začel prvič presojati akreditacijske in evalvacijske vloge po novih merilih. Za lažje in preglednejše delo je bil izdelan spletni rokovnik, ki na eni strani omogoča vodji sektorja sprotno spremljanje dela zaposlenih, na drugi strani pa zavodom oziroma šolam vpogled v stanje postopkov oziroma vlog. </w:t>
      </w:r>
      <w:r w:rsidRPr="0095699F">
        <w:rPr>
          <w:rFonts w:ascii="Verdana" w:eastAsia="Cambria" w:hAnsi="Verdana" w:cs="Times New Roman"/>
        </w:rPr>
        <w:t xml:space="preserve">Agencija je do </w:t>
      </w:r>
      <w:r w:rsidRPr="0095699F">
        <w:rPr>
          <w:rFonts w:ascii="Verdana" w:eastAsia="Cambria" w:hAnsi="Verdana" w:cs="Times New Roman"/>
        </w:rPr>
        <w:lastRenderedPageBreak/>
        <w:t>konca leta 2018 za poenotenje dela strokovnih delavcev, ki vodijo akreditacijske in evalvacijske postopke, izdelala posebne postopkovnike, iz katerih so jasno razvidna dejanja v postopku, kdo jih mora opraviti in v kakšnem roku. Postopkovniki so trije:</w:t>
      </w:r>
    </w:p>
    <w:p w14:paraId="6B7D7C65" w14:textId="77777777" w:rsidR="00406A3D" w:rsidRPr="0095699F" w:rsidRDefault="00406A3D" w:rsidP="00406A3D">
      <w:pPr>
        <w:numPr>
          <w:ilvl w:val="0"/>
          <w:numId w:val="42"/>
        </w:numPr>
        <w:spacing w:after="0" w:line="240" w:lineRule="auto"/>
        <w:jc w:val="both"/>
        <w:rPr>
          <w:rFonts w:ascii="Verdana" w:eastAsia="Cambria" w:hAnsi="Verdana" w:cs="Times New Roman"/>
        </w:rPr>
      </w:pPr>
      <w:r w:rsidRPr="0095699F">
        <w:rPr>
          <w:rFonts w:ascii="Verdana" w:eastAsia="Cambria" w:hAnsi="Verdana" w:cs="Times New Roman"/>
        </w:rPr>
        <w:t>prvi ureja akreditacijo novih visokošolskih zavodov, akreditacijo novih študijskih programov; tudi skupnih študijskih programov;</w:t>
      </w:r>
    </w:p>
    <w:p w14:paraId="481A1C29" w14:textId="77777777" w:rsidR="00406A3D" w:rsidRPr="0095699F" w:rsidRDefault="00406A3D" w:rsidP="00406A3D">
      <w:pPr>
        <w:numPr>
          <w:ilvl w:val="0"/>
          <w:numId w:val="42"/>
        </w:numPr>
        <w:spacing w:after="0" w:line="240" w:lineRule="auto"/>
        <w:jc w:val="both"/>
        <w:rPr>
          <w:rFonts w:ascii="Verdana" w:eastAsia="Cambria" w:hAnsi="Verdana" w:cs="Times New Roman"/>
        </w:rPr>
      </w:pPr>
      <w:r w:rsidRPr="0095699F">
        <w:rPr>
          <w:rFonts w:ascii="Verdana" w:eastAsia="Cambria" w:hAnsi="Verdana" w:cs="Times New Roman"/>
        </w:rPr>
        <w:t>drugi ureja podaljšanje akreditacije visokošolskih zavodov;</w:t>
      </w:r>
    </w:p>
    <w:p w14:paraId="2CB73945" w14:textId="77777777" w:rsidR="00406A3D" w:rsidRPr="0095699F" w:rsidRDefault="00406A3D" w:rsidP="00406A3D">
      <w:pPr>
        <w:numPr>
          <w:ilvl w:val="0"/>
          <w:numId w:val="42"/>
        </w:numPr>
        <w:spacing w:after="0" w:line="240" w:lineRule="auto"/>
        <w:jc w:val="both"/>
        <w:rPr>
          <w:rFonts w:ascii="Verdana" w:eastAsia="Cambria" w:hAnsi="Verdana" w:cs="Times New Roman"/>
        </w:rPr>
      </w:pPr>
      <w:r w:rsidRPr="0095699F">
        <w:rPr>
          <w:rFonts w:ascii="Verdana" w:eastAsia="Cambria" w:hAnsi="Verdana" w:cs="Times New Roman"/>
        </w:rPr>
        <w:t>tretji pa evalvacijo študijskih programov.</w:t>
      </w:r>
    </w:p>
    <w:p w14:paraId="0C1CE6E2" w14:textId="77777777" w:rsidR="00406A3D" w:rsidRPr="0095699F" w:rsidRDefault="00406A3D" w:rsidP="00406A3D">
      <w:pPr>
        <w:spacing w:after="0" w:line="240" w:lineRule="auto"/>
        <w:jc w:val="both"/>
        <w:rPr>
          <w:rFonts w:ascii="Verdana" w:eastAsia="Cambria" w:hAnsi="Verdana" w:cs="Times New Roman"/>
        </w:rPr>
      </w:pPr>
    </w:p>
    <w:p w14:paraId="4BD22545" w14:textId="77777777" w:rsidR="00406A3D" w:rsidRDefault="00406A3D" w:rsidP="00406A3D">
      <w:pPr>
        <w:spacing w:after="0" w:line="240" w:lineRule="auto"/>
        <w:jc w:val="both"/>
        <w:rPr>
          <w:rFonts w:ascii="Verdana" w:eastAsia="Cambria" w:hAnsi="Verdana" w:cs="Times New Roman"/>
        </w:rPr>
      </w:pPr>
      <w:r w:rsidRPr="0095699F">
        <w:rPr>
          <w:rFonts w:ascii="Verdana" w:eastAsia="Cambria" w:hAnsi="Verdana" w:cs="Times New Roman"/>
        </w:rPr>
        <w:t xml:space="preserve">Tudi postopkovniki omogočajo pregled nad potekom postopkov in – kar je najpomembnejše – skrajšujejo </w:t>
      </w:r>
      <w:r>
        <w:rPr>
          <w:rFonts w:ascii="Verdana" w:eastAsia="Cambria" w:hAnsi="Verdana" w:cs="Times New Roman"/>
        </w:rPr>
        <w:t>pre</w:t>
      </w:r>
      <w:r w:rsidRPr="0095699F">
        <w:rPr>
          <w:rFonts w:ascii="Verdana" w:eastAsia="Cambria" w:hAnsi="Verdana" w:cs="Times New Roman"/>
        </w:rPr>
        <w:t>dolgo trajanje nekaterih v preteklosti. V prihodnje se želi agencija izogniti »zamudam«, kadar ni utemeljenih razlogov za to. Iz preglednic o vlogah v poglavju</w:t>
      </w:r>
      <w:r>
        <w:rPr>
          <w:rFonts w:ascii="Verdana" w:eastAsia="Cambria" w:hAnsi="Verdana" w:cs="Times New Roman"/>
        </w:rPr>
        <w:t xml:space="preserve"> III Akreditacije in evalvacije v visokem in višjem šolstvu</w:t>
      </w:r>
      <w:r w:rsidRPr="0095699F">
        <w:rPr>
          <w:rFonts w:ascii="Verdana" w:eastAsia="Cambria" w:hAnsi="Verdana" w:cs="Times New Roman"/>
        </w:rPr>
        <w:t xml:space="preserve"> je namreč </w:t>
      </w:r>
      <w:r w:rsidRPr="000C6F9E">
        <w:rPr>
          <w:rFonts w:ascii="Verdana" w:eastAsia="Cambria" w:hAnsi="Verdana" w:cs="Times New Roman"/>
        </w:rPr>
        <w:t>razvidno, da so nekateri postopki (po starih merilih) brez upravičenega razloga trajali nerazumno dolgo ter da še vedno niso končani.</w:t>
      </w:r>
      <w:r w:rsidRPr="001F0B15">
        <w:rPr>
          <w:rFonts w:ascii="Verdana" w:eastAsia="Cambria" w:hAnsi="Verdana" w:cs="Times New Roman"/>
        </w:rPr>
        <w:t xml:space="preserve">  </w:t>
      </w:r>
    </w:p>
    <w:p w14:paraId="57ECB89C" w14:textId="77777777" w:rsidR="00406A3D" w:rsidRDefault="00406A3D" w:rsidP="00406A3D">
      <w:pPr>
        <w:spacing w:after="0" w:line="240" w:lineRule="auto"/>
        <w:jc w:val="both"/>
        <w:rPr>
          <w:rFonts w:ascii="Verdana" w:eastAsia="Cambria" w:hAnsi="Verdana" w:cs="Times New Roman"/>
        </w:rPr>
      </w:pPr>
    </w:p>
    <w:p w14:paraId="2F730BC5" w14:textId="77777777" w:rsidR="00406A3D" w:rsidRDefault="00406A3D" w:rsidP="00406A3D">
      <w:pPr>
        <w:spacing w:after="0" w:line="240" w:lineRule="auto"/>
        <w:jc w:val="both"/>
        <w:rPr>
          <w:rFonts w:ascii="Verdana" w:eastAsia="Cambria" w:hAnsi="Verdana" w:cs="Times New Roman"/>
        </w:rPr>
      </w:pPr>
      <w:r>
        <w:rPr>
          <w:rFonts w:ascii="Verdana" w:eastAsia="Cambria" w:hAnsi="Verdana" w:cs="Times New Roman"/>
        </w:rPr>
        <w:t xml:space="preserve">Poleg tega so bile izdelane nove predloge z navodili za poročila skupin strokovnjakov za vse vrste akreditacij in evalvacij. Predloge vodijo skupino strokovnjakov tako, da mora natančno poročati o presoji vseh področjih iz meril ter po vseh standardih kakovosti; po vsakem standardu pa analizirati ugotovitve po prednostih, priporočilih za izboljšanje delovanja zavodov/šol oziroma evalvacije, spreminjanja in izvajanja študijskih programov ter morebitnih neskladnostih ali večjih pomanjkljivostih. Predvsem slednjim je bila posvečena velika pozornost pri usposabljanju strokovnjakov agencije za presojanje po novih merilih novembra 2018; kompleksna naloga, ki iz akcijskega načrta ni razvidna. </w:t>
      </w:r>
    </w:p>
    <w:p w14:paraId="6B9748E6" w14:textId="77777777" w:rsidR="00406A3D" w:rsidRDefault="00406A3D" w:rsidP="00406A3D">
      <w:pPr>
        <w:spacing w:after="0" w:line="240" w:lineRule="auto"/>
        <w:jc w:val="both"/>
        <w:rPr>
          <w:rFonts w:ascii="Verdana" w:eastAsia="Cambria" w:hAnsi="Verdana" w:cs="Times New Roman"/>
        </w:rPr>
      </w:pPr>
    </w:p>
    <w:p w14:paraId="25D49292" w14:textId="12951FF7" w:rsidR="00406A3D" w:rsidRDefault="00406A3D" w:rsidP="00406A3D">
      <w:pPr>
        <w:spacing w:after="0" w:line="240" w:lineRule="auto"/>
        <w:jc w:val="both"/>
        <w:rPr>
          <w:rFonts w:ascii="Verdana" w:eastAsia="Cambria" w:hAnsi="Verdana" w:cs="Times New Roman"/>
          <w:highlight w:val="yellow"/>
        </w:rPr>
      </w:pPr>
      <w:r>
        <w:rPr>
          <w:rFonts w:ascii="Verdana" w:eastAsia="Cambria" w:hAnsi="Verdana" w:cs="Times New Roman"/>
        </w:rPr>
        <w:t xml:space="preserve">Čeprav se morajo kandidati za strokovnjake agencije v skladu z novimi merili, sprejetimi na začetku leta 2018, sami seznaniti z zakonodajo, merili ter standardi za presojanje kakovosti zavodov/šol in študijskih programov, posebno večdnevno izobraževanje zanje pa ni več predvideno v tako obliki kot po starih merilih, se </w:t>
      </w:r>
      <w:r w:rsidR="00B15AA9">
        <w:rPr>
          <w:rFonts w:ascii="Verdana" w:eastAsia="Cambria" w:hAnsi="Verdana" w:cs="Times New Roman"/>
        </w:rPr>
        <w:t>je</w:t>
      </w:r>
      <w:r>
        <w:rPr>
          <w:rFonts w:ascii="Verdana" w:eastAsia="Cambria" w:hAnsi="Verdana" w:cs="Times New Roman"/>
        </w:rPr>
        <w:t xml:space="preserve"> agencij</w:t>
      </w:r>
      <w:r w:rsidR="00347BCA">
        <w:rPr>
          <w:rFonts w:ascii="Verdana" w:eastAsia="Cambria" w:hAnsi="Verdana" w:cs="Times New Roman"/>
        </w:rPr>
        <w:t>a</w:t>
      </w:r>
      <w:r>
        <w:rPr>
          <w:rFonts w:ascii="Verdana" w:eastAsia="Cambria" w:hAnsi="Verdana" w:cs="Times New Roman"/>
        </w:rPr>
        <w:t xml:space="preserve"> odločil</w:t>
      </w:r>
      <w:r w:rsidR="00347BCA">
        <w:rPr>
          <w:rFonts w:ascii="Verdana" w:eastAsia="Cambria" w:hAnsi="Verdana" w:cs="Times New Roman"/>
        </w:rPr>
        <w:t>a</w:t>
      </w:r>
      <w:r>
        <w:rPr>
          <w:rFonts w:ascii="Verdana" w:eastAsia="Cambria" w:hAnsi="Verdana" w:cs="Times New Roman"/>
        </w:rPr>
        <w:t>, da po izbiri kandidatov, ki  izpolnjujejo pogoje iz meril, organizira posebna srečanja, namenjena razčiščevanju odprtih vprašanj in pripravi na delo kandidata v skupini strokovnjakov. Uspešno delo kandidata v skupini je namreč pogoj za pozitivno oceno in na tej podlagi imenovanje za strokovnjaka na svetu agencije oziroma njegov vpis v register strokovnjakov</w:t>
      </w:r>
      <w:r w:rsidR="00347BCA">
        <w:rPr>
          <w:rFonts w:ascii="Verdana" w:eastAsia="Cambria" w:hAnsi="Verdana" w:cs="Times New Roman"/>
        </w:rPr>
        <w:t xml:space="preserve"> agencije</w:t>
      </w:r>
      <w:r>
        <w:rPr>
          <w:rFonts w:ascii="Verdana" w:eastAsia="Cambria" w:hAnsi="Verdana" w:cs="Times New Roman"/>
        </w:rPr>
        <w:t xml:space="preserve">. Prvo tako srečanje je bilo oktobra 2018 pripravljeno za kandidate študente. Bilo je koristno, kandidati so se lahko po njem takoj pridružili posameznim skupinam strokovnjakov pri konkretnem delu. </w:t>
      </w:r>
    </w:p>
    <w:p w14:paraId="6707BDFC" w14:textId="77777777" w:rsidR="00406A3D" w:rsidRDefault="00406A3D" w:rsidP="00406A3D">
      <w:pPr>
        <w:spacing w:after="0" w:line="240" w:lineRule="auto"/>
        <w:jc w:val="both"/>
        <w:rPr>
          <w:rFonts w:ascii="Verdana" w:eastAsia="Cambria" w:hAnsi="Verdana" w:cs="Times New Roman"/>
        </w:rPr>
      </w:pPr>
    </w:p>
    <w:p w14:paraId="2F10494F" w14:textId="74E7125B" w:rsidR="00406A3D" w:rsidRDefault="00406A3D" w:rsidP="00406A3D">
      <w:pPr>
        <w:spacing w:after="0" w:line="240" w:lineRule="auto"/>
        <w:jc w:val="both"/>
        <w:rPr>
          <w:rFonts w:ascii="Verdana" w:eastAsia="Cambria" w:hAnsi="Verdana" w:cs="Times New Roman"/>
        </w:rPr>
      </w:pPr>
      <w:r>
        <w:rPr>
          <w:rFonts w:ascii="Verdana" w:eastAsia="Cambria" w:hAnsi="Verdana" w:cs="Times New Roman"/>
        </w:rPr>
        <w:t xml:space="preserve">Agencija je prvič organizirala posebno srečanje s komisijami za kakovost ali predstavniki, zadolženimi za samoevalvacijo, zavodov/šol. Srečanje je bilo pozitivno sprejeto, udeleženci so zelo aktivno in tvorno sodelovali z različnimi vprašanji o novih merilih agencije, tolmačenju standardov kakovosti, izpolnjevanju in oddajanju elektronskih vlog ipd. Predstavili so predvsem tehniške težave, ki ji imajo ob tem tako, da </w:t>
      </w:r>
      <w:r w:rsidR="00347BCA">
        <w:rPr>
          <w:rFonts w:ascii="Verdana" w:eastAsia="Cambria" w:hAnsi="Verdana" w:cs="Times New Roman"/>
        </w:rPr>
        <w:t>je bilo mogoče</w:t>
      </w:r>
      <w:r>
        <w:rPr>
          <w:rFonts w:ascii="Verdana" w:eastAsia="Cambria" w:hAnsi="Verdana" w:cs="Times New Roman"/>
        </w:rPr>
        <w:t xml:space="preserve"> skupaj poiskali rešitve zanje ali pa se dogovori</w:t>
      </w:r>
      <w:r w:rsidR="00347BCA">
        <w:rPr>
          <w:rFonts w:ascii="Verdana" w:eastAsia="Cambria" w:hAnsi="Verdana" w:cs="Times New Roman"/>
        </w:rPr>
        <w:t>t</w:t>
      </w:r>
      <w:r>
        <w:rPr>
          <w:rFonts w:ascii="Verdana" w:eastAsia="Cambria" w:hAnsi="Verdana" w:cs="Times New Roman"/>
        </w:rPr>
        <w:t>i, kako  sodelova</w:t>
      </w:r>
      <w:r w:rsidR="00347BCA">
        <w:rPr>
          <w:rFonts w:ascii="Verdana" w:eastAsia="Cambria" w:hAnsi="Verdana" w:cs="Times New Roman"/>
        </w:rPr>
        <w:t>t</w:t>
      </w:r>
      <w:r>
        <w:rPr>
          <w:rFonts w:ascii="Verdana" w:eastAsia="Cambria" w:hAnsi="Verdana" w:cs="Times New Roman"/>
        </w:rPr>
        <w:t>i v prihodnje. Delavca, zadolžena za eNakvis, sta po tem srečanju obiskala univerze</w:t>
      </w:r>
      <w:r w:rsidR="0096587E">
        <w:rPr>
          <w:rFonts w:ascii="Verdana" w:eastAsia="Cambria" w:hAnsi="Verdana" w:cs="Times New Roman"/>
        </w:rPr>
        <w:t xml:space="preserve"> in jim natančneje predstavila delovanje informacijskega sistema; predvsem: prijavljanje v sistem (varnostno shemo), način izpolnjevanja obrazcev za vloge, oddajanje vlog.</w:t>
      </w:r>
      <w:r>
        <w:rPr>
          <w:rFonts w:ascii="Verdana" w:eastAsia="Cambria" w:hAnsi="Verdana" w:cs="Times New Roman"/>
        </w:rPr>
        <w:t xml:space="preserve"> Na </w:t>
      </w:r>
      <w:r>
        <w:rPr>
          <w:rFonts w:ascii="Verdana" w:eastAsia="Cambria" w:hAnsi="Verdana" w:cs="Times New Roman"/>
        </w:rPr>
        <w:lastRenderedPageBreak/>
        <w:t xml:space="preserve">srečanju je bila poleg osvežitve sprememb ZViS, novih meril oziroma meril za presojo standardov kakovosti, meril za strokovnjake in predstavitve delovanja eNakvis z navodili za njegovo uporabo, objavljenimi tudi na spletnih straneh agencije, predstavljena analiza samoevalvacijskih poročil zavodov/šol, ki jo je agencija naredila za obdobje treh let (od 2015 do 2017). Analiza prikazuje ugotovitve o presoji kakovosti dejavnosti zavodov/šol, predvsem njihovo presojo najpomembnejših, kot so izobraževalna in znanstveno-raziskovalna, strokovna in umetniška dejavnost ter ponuja zavodom/šolam razmislek o izboljšanju prihodnjega ravnanja v samoevalvacijskih postopkih.  Po koncu srečanja </w:t>
      </w:r>
      <w:r w:rsidR="00347BCA">
        <w:rPr>
          <w:rFonts w:ascii="Verdana" w:eastAsia="Cambria" w:hAnsi="Verdana" w:cs="Times New Roman"/>
        </w:rPr>
        <w:t>je bilo</w:t>
      </w:r>
      <w:r>
        <w:rPr>
          <w:rFonts w:ascii="Verdana" w:eastAsia="Cambria" w:hAnsi="Verdana" w:cs="Times New Roman"/>
        </w:rPr>
        <w:t xml:space="preserve">  zadovolj</w:t>
      </w:r>
      <w:r w:rsidR="00347BCA">
        <w:rPr>
          <w:rFonts w:ascii="Verdana" w:eastAsia="Cambria" w:hAnsi="Verdana" w:cs="Times New Roman"/>
        </w:rPr>
        <w:t>stvo</w:t>
      </w:r>
      <w:r>
        <w:rPr>
          <w:rFonts w:ascii="Verdana" w:eastAsia="Cambria" w:hAnsi="Verdana" w:cs="Times New Roman"/>
        </w:rPr>
        <w:t xml:space="preserve"> na obeh straneh (</w:t>
      </w:r>
      <w:r w:rsidR="00347BCA">
        <w:rPr>
          <w:rFonts w:ascii="Verdana" w:eastAsia="Cambria" w:hAnsi="Verdana" w:cs="Times New Roman"/>
        </w:rPr>
        <w:t xml:space="preserve">na </w:t>
      </w:r>
      <w:r>
        <w:rPr>
          <w:rFonts w:ascii="Verdana" w:eastAsia="Cambria" w:hAnsi="Verdana" w:cs="Times New Roman"/>
        </w:rPr>
        <w:t>agencij</w:t>
      </w:r>
      <w:r w:rsidR="00347BCA">
        <w:rPr>
          <w:rFonts w:ascii="Verdana" w:eastAsia="Cambria" w:hAnsi="Verdana" w:cs="Times New Roman"/>
        </w:rPr>
        <w:t>i</w:t>
      </w:r>
      <w:r>
        <w:rPr>
          <w:rFonts w:ascii="Verdana" w:eastAsia="Cambria" w:hAnsi="Verdana" w:cs="Times New Roman"/>
        </w:rPr>
        <w:t xml:space="preserve"> in </w:t>
      </w:r>
      <w:r w:rsidR="00347BCA">
        <w:rPr>
          <w:rFonts w:ascii="Verdana" w:eastAsia="Cambria" w:hAnsi="Verdana" w:cs="Times New Roman"/>
        </w:rPr>
        <w:t xml:space="preserve">med </w:t>
      </w:r>
      <w:r>
        <w:rPr>
          <w:rFonts w:ascii="Verdana" w:eastAsia="Cambria" w:hAnsi="Verdana" w:cs="Times New Roman"/>
        </w:rPr>
        <w:t>predstavniki zavodov/šol); ugotov</w:t>
      </w:r>
      <w:r w:rsidR="00347BCA">
        <w:rPr>
          <w:rFonts w:ascii="Verdana" w:eastAsia="Cambria" w:hAnsi="Verdana" w:cs="Times New Roman"/>
        </w:rPr>
        <w:t>ljeno je bilo</w:t>
      </w:r>
      <w:r>
        <w:rPr>
          <w:rFonts w:ascii="Verdana" w:eastAsia="Cambria" w:hAnsi="Verdana" w:cs="Times New Roman"/>
        </w:rPr>
        <w:t xml:space="preserve">, da so podobni dogodki nujno potrebni za izboljšanje dela, krepitev zaupanja ter da jih </w:t>
      </w:r>
      <w:r w:rsidR="00347BCA">
        <w:rPr>
          <w:rFonts w:ascii="Verdana" w:eastAsia="Cambria" w:hAnsi="Verdana" w:cs="Times New Roman"/>
        </w:rPr>
        <w:t>je treba</w:t>
      </w:r>
      <w:r>
        <w:rPr>
          <w:rFonts w:ascii="Verdana" w:eastAsia="Cambria" w:hAnsi="Verdana" w:cs="Times New Roman"/>
        </w:rPr>
        <w:t xml:space="preserve"> redno </w:t>
      </w:r>
      <w:r w:rsidR="00347BCA">
        <w:rPr>
          <w:rFonts w:ascii="Verdana" w:eastAsia="Cambria" w:hAnsi="Verdana" w:cs="Times New Roman"/>
        </w:rPr>
        <w:t xml:space="preserve">oziroma pogosteje </w:t>
      </w:r>
      <w:r>
        <w:rPr>
          <w:rFonts w:ascii="Verdana" w:eastAsia="Cambria" w:hAnsi="Verdana" w:cs="Times New Roman"/>
        </w:rPr>
        <w:t>organizirali.</w:t>
      </w:r>
    </w:p>
    <w:p w14:paraId="1ED93098" w14:textId="77777777" w:rsidR="00406A3D" w:rsidRDefault="00406A3D" w:rsidP="00406A3D">
      <w:pPr>
        <w:spacing w:after="0" w:line="240" w:lineRule="auto"/>
        <w:jc w:val="both"/>
        <w:rPr>
          <w:rFonts w:ascii="Verdana" w:eastAsia="Cambria" w:hAnsi="Verdana" w:cs="Times New Roman"/>
        </w:rPr>
      </w:pPr>
    </w:p>
    <w:p w14:paraId="0D2A0958" w14:textId="0B477B70" w:rsidR="00406A3D" w:rsidRDefault="00406A3D" w:rsidP="00406A3D">
      <w:pPr>
        <w:spacing w:after="0" w:line="240" w:lineRule="auto"/>
        <w:jc w:val="both"/>
        <w:rPr>
          <w:rFonts w:ascii="Verdana" w:eastAsia="Cambria" w:hAnsi="Verdana" w:cs="Times New Roman"/>
        </w:rPr>
      </w:pPr>
      <w:r>
        <w:rPr>
          <w:rFonts w:ascii="Verdana" w:eastAsia="Cambria" w:hAnsi="Verdana" w:cs="Times New Roman"/>
        </w:rPr>
        <w:t xml:space="preserve">Pri pripravi </w:t>
      </w:r>
      <w:r w:rsidRPr="00D263A0">
        <w:rPr>
          <w:rFonts w:ascii="Verdana" w:eastAsia="Cambria" w:hAnsi="Verdana" w:cs="Times New Roman"/>
          <w:b/>
        </w:rPr>
        <w:t>meril in drugih predpisov agencije</w:t>
      </w:r>
      <w:r>
        <w:rPr>
          <w:rFonts w:ascii="Verdana" w:eastAsia="Cambria" w:hAnsi="Verdana" w:cs="Times New Roman"/>
        </w:rPr>
        <w:t xml:space="preserve"> </w:t>
      </w:r>
      <w:r w:rsidR="00347BCA">
        <w:rPr>
          <w:rFonts w:ascii="Verdana" w:eastAsia="Cambria" w:hAnsi="Verdana" w:cs="Times New Roman"/>
        </w:rPr>
        <w:t xml:space="preserve">je bilo </w:t>
      </w:r>
      <w:r>
        <w:rPr>
          <w:rFonts w:ascii="Verdana" w:eastAsia="Cambria" w:hAnsi="Verdana" w:cs="Times New Roman"/>
        </w:rPr>
        <w:t xml:space="preserve"> v akcijskem načrtu do konca leta 2018 postav</w:t>
      </w:r>
      <w:r w:rsidR="00347BCA">
        <w:rPr>
          <w:rFonts w:ascii="Verdana" w:eastAsia="Cambria" w:hAnsi="Verdana" w:cs="Times New Roman"/>
        </w:rPr>
        <w:t>ljenih</w:t>
      </w:r>
      <w:r>
        <w:rPr>
          <w:rFonts w:ascii="Verdana" w:eastAsia="Cambria" w:hAnsi="Verdana" w:cs="Times New Roman"/>
        </w:rPr>
        <w:t xml:space="preserve"> preveč nalog. Poleg novih meril za kreditno vrednotenje študijskih programov po ECTS ter meril za prehode med študijskimi programi </w:t>
      </w:r>
      <w:r w:rsidR="00347BCA">
        <w:rPr>
          <w:rFonts w:ascii="Verdana" w:eastAsia="Cambria" w:hAnsi="Verdana" w:cs="Times New Roman"/>
        </w:rPr>
        <w:t>je bila v načrtu</w:t>
      </w:r>
      <w:r>
        <w:rPr>
          <w:rFonts w:ascii="Verdana" w:eastAsia="Cambria" w:hAnsi="Verdana" w:cs="Times New Roman"/>
        </w:rPr>
        <w:t xml:space="preserve"> spreme</w:t>
      </w:r>
      <w:r w:rsidR="00347BCA">
        <w:rPr>
          <w:rFonts w:ascii="Verdana" w:eastAsia="Cambria" w:hAnsi="Verdana" w:cs="Times New Roman"/>
        </w:rPr>
        <w:t>mba</w:t>
      </w:r>
      <w:r>
        <w:rPr>
          <w:rFonts w:ascii="Verdana" w:eastAsia="Cambria" w:hAnsi="Verdana" w:cs="Times New Roman"/>
        </w:rPr>
        <w:t xml:space="preserve"> minimaln</w:t>
      </w:r>
      <w:r w:rsidR="00347BCA">
        <w:rPr>
          <w:rFonts w:ascii="Verdana" w:eastAsia="Cambria" w:hAnsi="Verdana" w:cs="Times New Roman"/>
        </w:rPr>
        <w:t>ih</w:t>
      </w:r>
      <w:r>
        <w:rPr>
          <w:rFonts w:ascii="Verdana" w:eastAsia="Cambria" w:hAnsi="Verdana" w:cs="Times New Roman"/>
        </w:rPr>
        <w:t xml:space="preserve"> standard</w:t>
      </w:r>
      <w:r w:rsidR="00347BCA">
        <w:rPr>
          <w:rFonts w:ascii="Verdana" w:eastAsia="Cambria" w:hAnsi="Verdana" w:cs="Times New Roman"/>
        </w:rPr>
        <w:t>ov</w:t>
      </w:r>
      <w:r>
        <w:rPr>
          <w:rFonts w:ascii="Verdana" w:eastAsia="Cambria" w:hAnsi="Verdana" w:cs="Times New Roman"/>
        </w:rPr>
        <w:t xml:space="preserve"> za izvolitev v nazive visokošolskih učiteljev, visokošolskih delavcev in visokošolskih sodelavcev, meril za akreditacijo in zunanjo evalvacijo visokošolskih zavodov in študijskih programov ter meril za zunanjo evalvacijo višjih strokovnih šol. Delo z merili, predvsem njihovo usklajevanje z deležniki (zavodi/šolami, študenti, rektorsko konferenco, skupnostma samostojnih visokošolskih zavodov in višjih strokovnih šol) se je upočasnilo predvsem zaradi zunanje evalvacije agencije, novih prednostnih nalog, ki jih je ta narekovala, in sodelovanja pri pisanju obsežnih pripomb k prvim ugotovitvam skupine mednarodnih strokovnjakov ENQA, razvidnih iz poročila, poslanega agenciji </w:t>
      </w:r>
      <w:r w:rsidR="009C1B5C">
        <w:rPr>
          <w:rFonts w:ascii="Verdana" w:eastAsia="Cambria" w:hAnsi="Verdana" w:cs="Times New Roman"/>
        </w:rPr>
        <w:t>24. julija</w:t>
      </w:r>
      <w:r>
        <w:rPr>
          <w:rFonts w:ascii="Verdana" w:eastAsia="Cambria" w:hAnsi="Verdana" w:cs="Times New Roman"/>
        </w:rPr>
        <w:t xml:space="preserve"> 2018.  </w:t>
      </w:r>
    </w:p>
    <w:p w14:paraId="20B52B72" w14:textId="77777777" w:rsidR="00406A3D" w:rsidRDefault="00406A3D" w:rsidP="00406A3D">
      <w:pPr>
        <w:spacing w:after="0" w:line="240" w:lineRule="auto"/>
        <w:jc w:val="both"/>
        <w:rPr>
          <w:rFonts w:ascii="Verdana" w:eastAsia="Cambria" w:hAnsi="Verdana" w:cs="Times New Roman"/>
        </w:rPr>
      </w:pPr>
    </w:p>
    <w:p w14:paraId="6F91E486" w14:textId="005340EA" w:rsidR="009C1B5C" w:rsidRDefault="00406A3D" w:rsidP="00580769">
      <w:pPr>
        <w:spacing w:after="0" w:line="240" w:lineRule="auto"/>
        <w:jc w:val="both"/>
      </w:pPr>
      <w:r>
        <w:rPr>
          <w:rFonts w:ascii="Verdana" w:eastAsia="Cambria" w:hAnsi="Verdana" w:cs="Times New Roman"/>
        </w:rPr>
        <w:t>Do konca leta 2018 je bila sprejeta in objavljena sprememba meril za zunanjo evalvacijo višjih strokovnih šol, pripravljeni pa osnutki sprememb meril za prehode med študijskimi programi, meril za akreditacijo in zunanjo evalvacijo ter minimalnih standardov za izvolitev v nazive. Osnutki so v javni obravnavi oziroma vnovičnem usklajevanju z deležniki, postopek spreminjanja meril se bo intenzivno nadaljeval na začetku leta 2019.</w:t>
      </w:r>
    </w:p>
    <w:p w14:paraId="4AF8EAC1" w14:textId="77777777" w:rsidR="009C1B5C" w:rsidRPr="007C3C73" w:rsidRDefault="009C1B5C" w:rsidP="007C3C73">
      <w:pPr>
        <w:spacing w:after="0"/>
        <w:jc w:val="both"/>
        <w:rPr>
          <w:rFonts w:ascii="Verdana" w:hAnsi="Verdana"/>
        </w:rPr>
      </w:pPr>
    </w:p>
    <w:p w14:paraId="639A694B" w14:textId="124B5523" w:rsidR="006401FE" w:rsidRPr="007C3C73" w:rsidRDefault="006401FE" w:rsidP="007C3C73">
      <w:pPr>
        <w:spacing w:after="0"/>
        <w:jc w:val="both"/>
        <w:rPr>
          <w:rFonts w:ascii="Verdana" w:hAnsi="Verdana"/>
        </w:rPr>
      </w:pPr>
      <w:r>
        <w:rPr>
          <w:rFonts w:ascii="Verdana" w:hAnsi="Verdana"/>
        </w:rPr>
        <w:t>O</w:t>
      </w:r>
      <w:r w:rsidRPr="007C3C73">
        <w:rPr>
          <w:rFonts w:ascii="Verdana" w:hAnsi="Verdana"/>
        </w:rPr>
        <w:t>bširna naloga</w:t>
      </w:r>
      <w:r>
        <w:rPr>
          <w:rFonts w:ascii="Verdana" w:hAnsi="Verdana"/>
        </w:rPr>
        <w:t xml:space="preserve"> tega sektorja je bila tudi p</w:t>
      </w:r>
      <w:r w:rsidRPr="007C3C73">
        <w:rPr>
          <w:rFonts w:ascii="Verdana" w:hAnsi="Verdana"/>
        </w:rPr>
        <w:t>riprava podatkov za C</w:t>
      </w:r>
      <w:r>
        <w:rPr>
          <w:rFonts w:ascii="Verdana" w:hAnsi="Verdana"/>
        </w:rPr>
        <w:t>enter za poklicno izobraževanje</w:t>
      </w:r>
      <w:r w:rsidR="00AE7EB0">
        <w:rPr>
          <w:rFonts w:ascii="Verdana" w:hAnsi="Verdana"/>
        </w:rPr>
        <w:t xml:space="preserve"> (CPI)</w:t>
      </w:r>
      <w:r>
        <w:rPr>
          <w:rFonts w:ascii="Verdana" w:hAnsi="Verdana"/>
        </w:rPr>
        <w:t xml:space="preserve">, natančneje za umestitev </w:t>
      </w:r>
      <w:r w:rsidR="00AE7EB0">
        <w:rPr>
          <w:rFonts w:ascii="Verdana" w:hAnsi="Verdana"/>
        </w:rPr>
        <w:t>vseh akreditiranih študijskih programov</w:t>
      </w:r>
      <w:r w:rsidR="00625EA6">
        <w:rPr>
          <w:rFonts w:ascii="Verdana" w:hAnsi="Verdana"/>
        </w:rPr>
        <w:t xml:space="preserve"> (več kot 900), učnih izidov</w:t>
      </w:r>
      <w:r w:rsidR="00AE7EB0">
        <w:rPr>
          <w:rFonts w:ascii="Verdana" w:hAnsi="Verdana"/>
        </w:rPr>
        <w:t xml:space="preserve"> oziroma kompetenc, ki si jih študenti in diplomanti pridobijo, v SOK (slovensko ogrodje kvalifikacij) in EOK (evropsko ogrodje kvalifikacij). Sektor je sodeloval tudi pri pregledovanju podatkov v bazah CPI.</w:t>
      </w:r>
    </w:p>
    <w:p w14:paraId="35C640BB" w14:textId="77777777" w:rsidR="006401FE" w:rsidRPr="007C3C73" w:rsidRDefault="006401FE" w:rsidP="007C3C73">
      <w:pPr>
        <w:spacing w:after="0"/>
        <w:jc w:val="both"/>
        <w:rPr>
          <w:rFonts w:ascii="Verdana" w:hAnsi="Verdana"/>
        </w:rPr>
      </w:pPr>
    </w:p>
    <w:p w14:paraId="604D9D5E" w14:textId="01395DA8" w:rsidR="006401FE" w:rsidRPr="007C3C73" w:rsidRDefault="00AE7EB0" w:rsidP="007C3C73">
      <w:pPr>
        <w:spacing w:after="0"/>
        <w:jc w:val="both"/>
        <w:rPr>
          <w:rFonts w:ascii="Verdana" w:hAnsi="Verdana"/>
        </w:rPr>
      </w:pPr>
      <w:r w:rsidRPr="007C3C73">
        <w:rPr>
          <w:rFonts w:ascii="Verdana" w:hAnsi="Verdana"/>
        </w:rPr>
        <w:t xml:space="preserve">Odbiranje gradiva za </w:t>
      </w:r>
      <w:r w:rsidR="006401FE" w:rsidRPr="007C3C73">
        <w:rPr>
          <w:rFonts w:ascii="Verdana" w:hAnsi="Verdana"/>
        </w:rPr>
        <w:t>Arhiv</w:t>
      </w:r>
      <w:r w:rsidRPr="007C3C73">
        <w:rPr>
          <w:rFonts w:ascii="Verdana" w:hAnsi="Verdana"/>
        </w:rPr>
        <w:t xml:space="preserve"> Republike Slovenije</w:t>
      </w:r>
      <w:r>
        <w:rPr>
          <w:rFonts w:ascii="Verdana" w:hAnsi="Verdana"/>
        </w:rPr>
        <w:t xml:space="preserve"> je še ena nova in obširna naloga, ki se je sicer začela v letu 2018 z izobraževanjem strokovnih delavcev na tem področju, intenzivneje se bo nadaljevala v letu 2019</w:t>
      </w:r>
      <w:r w:rsidR="00347BCA">
        <w:rPr>
          <w:rFonts w:ascii="Verdana" w:hAnsi="Verdana"/>
        </w:rPr>
        <w:t xml:space="preserve"> v sodelovanju s sektorjem za splošne zadeve</w:t>
      </w:r>
      <w:r>
        <w:rPr>
          <w:rFonts w:ascii="Verdana" w:hAnsi="Verdana"/>
        </w:rPr>
        <w:t>.</w:t>
      </w:r>
    </w:p>
    <w:p w14:paraId="020C5F8A" w14:textId="77777777" w:rsidR="006401FE" w:rsidRDefault="006401FE" w:rsidP="006401FE">
      <w:pPr>
        <w:spacing w:after="0"/>
      </w:pPr>
    </w:p>
    <w:p w14:paraId="1CB53D54" w14:textId="77777777" w:rsidR="006401FE" w:rsidRDefault="006401FE" w:rsidP="006401FE">
      <w:pPr>
        <w:spacing w:after="0"/>
      </w:pPr>
    </w:p>
    <w:p w14:paraId="6FFE8E90" w14:textId="77777777" w:rsidR="006401FE" w:rsidRDefault="006401FE" w:rsidP="006401FE">
      <w:pPr>
        <w:spacing w:after="0"/>
      </w:pPr>
    </w:p>
    <w:p w14:paraId="13B01C5B" w14:textId="77777777" w:rsidR="006401FE" w:rsidRDefault="006401FE" w:rsidP="006401FE">
      <w:pPr>
        <w:spacing w:after="0"/>
      </w:pPr>
    </w:p>
    <w:tbl>
      <w:tblPr>
        <w:tblStyle w:val="Tabelamrea"/>
        <w:tblW w:w="9923" w:type="dxa"/>
        <w:tblInd w:w="108" w:type="dxa"/>
        <w:tblLayout w:type="fixed"/>
        <w:tblLook w:val="04A0" w:firstRow="1" w:lastRow="0" w:firstColumn="1" w:lastColumn="0" w:noHBand="0" w:noVBand="1"/>
      </w:tblPr>
      <w:tblGrid>
        <w:gridCol w:w="2694"/>
        <w:gridCol w:w="2976"/>
        <w:gridCol w:w="1276"/>
        <w:gridCol w:w="851"/>
        <w:gridCol w:w="1134"/>
        <w:gridCol w:w="992"/>
      </w:tblGrid>
      <w:tr w:rsidR="00C11985" w:rsidRPr="00E525AF" w14:paraId="78077020" w14:textId="77777777" w:rsidTr="00580769">
        <w:trPr>
          <w:trHeight w:val="831"/>
        </w:trPr>
        <w:tc>
          <w:tcPr>
            <w:tcW w:w="9923" w:type="dxa"/>
            <w:gridSpan w:val="6"/>
            <w:shd w:val="clear" w:color="auto" w:fill="B8CCE4" w:themeFill="accent1" w:themeFillTint="66"/>
            <w:noWrap/>
            <w:hideMark/>
          </w:tcPr>
          <w:p w14:paraId="24D8A18F" w14:textId="77777777" w:rsidR="00C11985" w:rsidRDefault="00C11985" w:rsidP="00406A3D">
            <w:pPr>
              <w:rPr>
                <w:rFonts w:ascii="Verdana" w:eastAsia="Times New Roman" w:hAnsi="Verdana" w:cs="Times New Roman"/>
                <w:b/>
                <w:bCs/>
                <w:color w:val="000000"/>
                <w:sz w:val="20"/>
                <w:szCs w:val="20"/>
                <w:lang w:eastAsia="sl-SI"/>
              </w:rPr>
            </w:pPr>
          </w:p>
          <w:p w14:paraId="25BAB1C2" w14:textId="77777777" w:rsidR="00C11985" w:rsidRPr="00167CAB" w:rsidRDefault="00C11985" w:rsidP="00406A3D">
            <w:pPr>
              <w:ind w:left="360"/>
              <w:jc w:val="center"/>
              <w:rPr>
                <w:rFonts w:ascii="Verdana" w:eastAsia="Times New Roman" w:hAnsi="Verdana"/>
                <w:b/>
                <w:bCs/>
                <w:color w:val="000000"/>
                <w:lang w:eastAsia="sl-SI"/>
              </w:rPr>
            </w:pPr>
            <w:r w:rsidRPr="00167CAB">
              <w:rPr>
                <w:rFonts w:ascii="Verdana" w:eastAsia="Times New Roman" w:hAnsi="Verdana"/>
                <w:b/>
                <w:bCs/>
                <w:color w:val="000000"/>
                <w:lang w:eastAsia="sl-SI"/>
              </w:rPr>
              <w:t>SEKTOR ZA ANALIZE, MEDNARODNO SODELOVANJE IN INFORMATIZACIJO AGENCIJE</w:t>
            </w:r>
          </w:p>
          <w:p w14:paraId="71417A8D" w14:textId="3FFF4C96" w:rsidR="00C11985" w:rsidRPr="00E525AF" w:rsidRDefault="00C11985" w:rsidP="0041199F">
            <w:pPr>
              <w:rPr>
                <w:rFonts w:ascii="Verdana" w:eastAsia="Times New Roman" w:hAnsi="Verdana" w:cs="Times New Roman"/>
                <w:b/>
                <w:bCs/>
                <w:color w:val="000000"/>
                <w:sz w:val="20"/>
                <w:szCs w:val="20"/>
                <w:lang w:eastAsia="sl-SI"/>
              </w:rPr>
            </w:pPr>
          </w:p>
        </w:tc>
      </w:tr>
      <w:tr w:rsidR="00406A3D" w:rsidRPr="00B21990" w14:paraId="3F64F1A7" w14:textId="77777777" w:rsidTr="00406A3D">
        <w:trPr>
          <w:trHeight w:val="675"/>
        </w:trPr>
        <w:tc>
          <w:tcPr>
            <w:tcW w:w="2694" w:type="dxa"/>
            <w:shd w:val="clear" w:color="auto" w:fill="C2D69B" w:themeFill="accent3" w:themeFillTint="99"/>
            <w:hideMark/>
          </w:tcPr>
          <w:p w14:paraId="2E75849B" w14:textId="77777777" w:rsidR="00406A3D" w:rsidRPr="00D04954" w:rsidRDefault="00406A3D" w:rsidP="00406A3D">
            <w:pPr>
              <w:rPr>
                <w:rFonts w:ascii="Verdana" w:eastAsia="Times New Roman" w:hAnsi="Verdana" w:cs="Times New Roman"/>
                <w:b/>
                <w:bCs/>
                <w:color w:val="000000"/>
                <w:sz w:val="20"/>
                <w:szCs w:val="20"/>
                <w:lang w:eastAsia="sl-SI"/>
              </w:rPr>
            </w:pPr>
            <w:r w:rsidRPr="00D04954">
              <w:rPr>
                <w:rFonts w:ascii="Verdana" w:eastAsia="Times New Roman" w:hAnsi="Verdana" w:cs="Times New Roman"/>
                <w:b/>
                <w:bCs/>
                <w:color w:val="000000"/>
                <w:sz w:val="20"/>
                <w:szCs w:val="20"/>
                <w:lang w:eastAsia="sl-SI"/>
              </w:rPr>
              <w:t>naloga</w:t>
            </w:r>
          </w:p>
        </w:tc>
        <w:tc>
          <w:tcPr>
            <w:tcW w:w="2976" w:type="dxa"/>
            <w:shd w:val="clear" w:color="auto" w:fill="C2D69B" w:themeFill="accent3" w:themeFillTint="99"/>
            <w:hideMark/>
          </w:tcPr>
          <w:p w14:paraId="6D6CF15E" w14:textId="77777777" w:rsidR="00406A3D" w:rsidRPr="00B21990" w:rsidRDefault="00406A3D" w:rsidP="00406A3D">
            <w:pPr>
              <w:rPr>
                <w:rFonts w:ascii="Verdana" w:eastAsia="Times New Roman" w:hAnsi="Verdana" w:cs="Times New Roman"/>
                <w:b/>
                <w:bCs/>
                <w:color w:val="000000"/>
                <w:sz w:val="20"/>
                <w:szCs w:val="20"/>
                <w:lang w:eastAsia="sl-SI"/>
              </w:rPr>
            </w:pPr>
            <w:r w:rsidRPr="00B21990">
              <w:rPr>
                <w:rFonts w:ascii="Verdana" w:eastAsia="Times New Roman" w:hAnsi="Verdana" w:cs="Times New Roman"/>
                <w:b/>
                <w:bCs/>
                <w:color w:val="000000"/>
                <w:sz w:val="20"/>
                <w:szCs w:val="20"/>
                <w:lang w:eastAsia="sl-SI"/>
              </w:rPr>
              <w:t>vsebina</w:t>
            </w:r>
          </w:p>
        </w:tc>
        <w:tc>
          <w:tcPr>
            <w:tcW w:w="1276" w:type="dxa"/>
            <w:shd w:val="clear" w:color="auto" w:fill="C2D69B" w:themeFill="accent3" w:themeFillTint="99"/>
            <w:hideMark/>
          </w:tcPr>
          <w:p w14:paraId="077492CC" w14:textId="77777777" w:rsidR="00406A3D" w:rsidRPr="00B21990" w:rsidRDefault="00406A3D" w:rsidP="00406A3D">
            <w:pPr>
              <w:rPr>
                <w:rFonts w:ascii="Verdana" w:eastAsia="Times New Roman" w:hAnsi="Verdana" w:cs="Times New Roman"/>
                <w:b/>
                <w:bCs/>
                <w:color w:val="000000"/>
                <w:sz w:val="18"/>
                <w:szCs w:val="18"/>
                <w:lang w:eastAsia="sl-SI"/>
              </w:rPr>
            </w:pPr>
            <w:r w:rsidRPr="00B21990">
              <w:rPr>
                <w:rFonts w:ascii="Verdana" w:eastAsia="Times New Roman" w:hAnsi="Verdana" w:cs="Times New Roman"/>
                <w:b/>
                <w:bCs/>
                <w:color w:val="000000"/>
                <w:sz w:val="20"/>
                <w:szCs w:val="20"/>
                <w:lang w:eastAsia="sl-SI"/>
              </w:rPr>
              <w:t xml:space="preserve">opravljeno </w:t>
            </w:r>
            <w:r w:rsidRPr="00B21990">
              <w:rPr>
                <w:rFonts w:ascii="Verdana" w:eastAsia="Times New Roman" w:hAnsi="Verdana" w:cs="Times New Roman"/>
                <w:b/>
                <w:bCs/>
                <w:color w:val="000000"/>
                <w:sz w:val="16"/>
                <w:szCs w:val="16"/>
                <w:lang w:eastAsia="sl-SI"/>
              </w:rPr>
              <w:br/>
            </w:r>
            <w:r w:rsidRPr="00B21990">
              <w:rPr>
                <w:rFonts w:ascii="Verdana" w:eastAsia="Times New Roman" w:hAnsi="Verdana" w:cs="Times New Roman"/>
                <w:b/>
                <w:bCs/>
                <w:color w:val="000000"/>
                <w:sz w:val="18"/>
                <w:szCs w:val="18"/>
                <w:lang w:eastAsia="sl-SI"/>
              </w:rPr>
              <w:t>DA/NE/ DELNO</w:t>
            </w:r>
          </w:p>
        </w:tc>
        <w:tc>
          <w:tcPr>
            <w:tcW w:w="851" w:type="dxa"/>
            <w:shd w:val="clear" w:color="auto" w:fill="C2D69B" w:themeFill="accent3" w:themeFillTint="99"/>
            <w:hideMark/>
          </w:tcPr>
          <w:p w14:paraId="1E3041F3" w14:textId="77777777" w:rsidR="00406A3D" w:rsidRDefault="00406A3D" w:rsidP="00406A3D">
            <w:pPr>
              <w:rPr>
                <w:rFonts w:ascii="Verdana" w:eastAsia="Times New Roman" w:hAnsi="Verdana" w:cs="Times New Roman"/>
                <w:b/>
                <w:bCs/>
                <w:color w:val="000000"/>
                <w:sz w:val="16"/>
                <w:szCs w:val="16"/>
                <w:lang w:eastAsia="sl-SI"/>
              </w:rPr>
            </w:pPr>
            <w:r w:rsidRPr="00B21990">
              <w:rPr>
                <w:rFonts w:ascii="Verdana" w:eastAsia="Times New Roman" w:hAnsi="Verdana" w:cs="Times New Roman"/>
                <w:b/>
                <w:bCs/>
                <w:color w:val="000000"/>
                <w:sz w:val="18"/>
                <w:szCs w:val="18"/>
                <w:lang w:eastAsia="sl-SI"/>
              </w:rPr>
              <w:t xml:space="preserve"> </w:t>
            </w:r>
            <w:r w:rsidRPr="00B21990">
              <w:rPr>
                <w:rFonts w:ascii="Verdana" w:eastAsia="Times New Roman" w:hAnsi="Verdana" w:cs="Times New Roman"/>
                <w:b/>
                <w:bCs/>
                <w:color w:val="000000"/>
                <w:sz w:val="20"/>
                <w:szCs w:val="20"/>
                <w:lang w:eastAsia="sl-SI"/>
              </w:rPr>
              <w:t xml:space="preserve">A </w:t>
            </w:r>
            <w:r>
              <w:rPr>
                <w:rFonts w:ascii="Verdana" w:eastAsia="Times New Roman" w:hAnsi="Verdana" w:cs="Times New Roman"/>
                <w:b/>
                <w:bCs/>
                <w:color w:val="000000"/>
                <w:sz w:val="18"/>
                <w:szCs w:val="18"/>
                <w:lang w:eastAsia="sl-SI"/>
              </w:rPr>
              <w:t>(</w:t>
            </w:r>
            <w:r w:rsidRPr="00B21990">
              <w:rPr>
                <w:rFonts w:ascii="Verdana" w:eastAsia="Times New Roman" w:hAnsi="Verdana" w:cs="Times New Roman"/>
                <w:b/>
                <w:bCs/>
                <w:color w:val="000000"/>
                <w:sz w:val="16"/>
                <w:szCs w:val="16"/>
                <w:lang w:eastAsia="sl-SI"/>
              </w:rPr>
              <w:t>strateški cilji</w:t>
            </w:r>
            <w:r>
              <w:rPr>
                <w:rFonts w:ascii="Verdana" w:eastAsia="Times New Roman" w:hAnsi="Verdana" w:cs="Times New Roman"/>
                <w:b/>
                <w:bCs/>
                <w:color w:val="000000"/>
                <w:sz w:val="16"/>
                <w:szCs w:val="16"/>
                <w:lang w:eastAsia="sl-SI"/>
              </w:rPr>
              <w:t>)</w:t>
            </w:r>
          </w:p>
          <w:p w14:paraId="3C5ED6B4" w14:textId="77777777" w:rsidR="00406A3D" w:rsidRPr="00B21990" w:rsidRDefault="00406A3D" w:rsidP="00406A3D">
            <w:pPr>
              <w:rPr>
                <w:rFonts w:ascii="Verdana" w:eastAsia="Times New Roman" w:hAnsi="Verdana" w:cs="Times New Roman"/>
                <w:b/>
                <w:bCs/>
                <w:color w:val="000000"/>
                <w:sz w:val="18"/>
                <w:szCs w:val="18"/>
                <w:lang w:eastAsia="sl-SI"/>
              </w:rPr>
            </w:pPr>
            <w:r w:rsidRPr="00B21990">
              <w:rPr>
                <w:rFonts w:ascii="Verdana" w:eastAsia="Times New Roman" w:hAnsi="Verdana" w:cs="Times New Roman"/>
                <w:b/>
                <w:bCs/>
                <w:color w:val="000000"/>
                <w:sz w:val="18"/>
                <w:szCs w:val="18"/>
                <w:lang w:eastAsia="sl-SI"/>
              </w:rPr>
              <w:t xml:space="preserve"> </w:t>
            </w:r>
          </w:p>
        </w:tc>
        <w:tc>
          <w:tcPr>
            <w:tcW w:w="1134" w:type="dxa"/>
            <w:shd w:val="clear" w:color="auto" w:fill="C2D69B" w:themeFill="accent3" w:themeFillTint="99"/>
            <w:hideMark/>
          </w:tcPr>
          <w:p w14:paraId="1D5F7F8D" w14:textId="77777777" w:rsidR="00406A3D" w:rsidRPr="00B21990" w:rsidRDefault="00406A3D" w:rsidP="00406A3D">
            <w:pPr>
              <w:rPr>
                <w:rFonts w:ascii="Verdana" w:eastAsia="Times New Roman" w:hAnsi="Verdana" w:cs="Times New Roman"/>
                <w:b/>
                <w:bCs/>
                <w:color w:val="000000"/>
                <w:sz w:val="20"/>
                <w:szCs w:val="20"/>
                <w:lang w:eastAsia="sl-SI"/>
              </w:rPr>
            </w:pPr>
            <w:r w:rsidRPr="00B21990">
              <w:rPr>
                <w:rFonts w:ascii="Verdana" w:eastAsia="Times New Roman" w:hAnsi="Verdana" w:cs="Times New Roman"/>
                <w:b/>
                <w:bCs/>
                <w:color w:val="000000"/>
                <w:sz w:val="20"/>
                <w:szCs w:val="20"/>
                <w:lang w:eastAsia="sl-SI"/>
              </w:rPr>
              <w:t>B</w:t>
            </w:r>
          </w:p>
          <w:p w14:paraId="73ACF4A0" w14:textId="77777777" w:rsidR="00406A3D" w:rsidRPr="00B21990" w:rsidRDefault="00406A3D" w:rsidP="00406A3D">
            <w:pPr>
              <w:rPr>
                <w:rFonts w:ascii="Verdana" w:eastAsia="Times New Roman" w:hAnsi="Verdana" w:cs="Times New Roman"/>
                <w:b/>
                <w:bCs/>
                <w:color w:val="000000"/>
                <w:sz w:val="16"/>
                <w:szCs w:val="16"/>
                <w:lang w:eastAsia="sl-SI"/>
              </w:rPr>
            </w:pPr>
            <w:r w:rsidRPr="00B21990">
              <w:rPr>
                <w:rFonts w:ascii="Verdana" w:eastAsia="Times New Roman" w:hAnsi="Verdana" w:cs="Times New Roman"/>
                <w:b/>
                <w:bCs/>
                <w:color w:val="000000"/>
                <w:sz w:val="16"/>
                <w:szCs w:val="16"/>
                <w:lang w:eastAsia="sl-SI"/>
              </w:rPr>
              <w:t>(področja presoje</w:t>
            </w:r>
            <w:r>
              <w:rPr>
                <w:rFonts w:ascii="Verdana" w:eastAsia="Times New Roman" w:hAnsi="Verdana" w:cs="Times New Roman"/>
                <w:b/>
                <w:bCs/>
                <w:color w:val="000000"/>
                <w:sz w:val="16"/>
                <w:szCs w:val="16"/>
                <w:lang w:eastAsia="sl-SI"/>
              </w:rPr>
              <w:t>)</w:t>
            </w:r>
          </w:p>
        </w:tc>
        <w:tc>
          <w:tcPr>
            <w:tcW w:w="992" w:type="dxa"/>
            <w:shd w:val="clear" w:color="auto" w:fill="C2D69B" w:themeFill="accent3" w:themeFillTint="99"/>
            <w:hideMark/>
          </w:tcPr>
          <w:p w14:paraId="4D318500" w14:textId="77777777" w:rsidR="00406A3D" w:rsidRPr="00B21990" w:rsidRDefault="00406A3D" w:rsidP="00406A3D">
            <w:pPr>
              <w:rPr>
                <w:rFonts w:ascii="Verdana" w:eastAsia="Times New Roman" w:hAnsi="Verdana" w:cs="Times New Roman"/>
                <w:b/>
                <w:bCs/>
                <w:color w:val="000000"/>
                <w:sz w:val="20"/>
                <w:szCs w:val="20"/>
                <w:lang w:eastAsia="sl-SI"/>
              </w:rPr>
            </w:pPr>
            <w:r w:rsidRPr="00B21990">
              <w:rPr>
                <w:rFonts w:ascii="Verdana" w:eastAsia="Times New Roman" w:hAnsi="Verdana" w:cs="Times New Roman"/>
                <w:b/>
                <w:bCs/>
                <w:color w:val="000000"/>
                <w:sz w:val="20"/>
                <w:szCs w:val="20"/>
                <w:lang w:eastAsia="sl-SI"/>
              </w:rPr>
              <w:t>C</w:t>
            </w:r>
          </w:p>
          <w:p w14:paraId="7FC839F9" w14:textId="77777777" w:rsidR="00406A3D" w:rsidRPr="00B21990" w:rsidRDefault="00406A3D" w:rsidP="00406A3D">
            <w:pPr>
              <w:rPr>
                <w:rFonts w:ascii="Verdana" w:eastAsia="Times New Roman" w:hAnsi="Verdana" w:cs="Times New Roman"/>
                <w:b/>
                <w:bCs/>
                <w:color w:val="000000"/>
                <w:sz w:val="16"/>
                <w:szCs w:val="16"/>
                <w:lang w:eastAsia="sl-SI"/>
              </w:rPr>
            </w:pPr>
            <w:r w:rsidRPr="00B21990">
              <w:rPr>
                <w:rFonts w:ascii="Verdana" w:eastAsia="Times New Roman" w:hAnsi="Verdana" w:cs="Times New Roman"/>
                <w:b/>
                <w:bCs/>
                <w:color w:val="000000"/>
                <w:sz w:val="16"/>
                <w:szCs w:val="16"/>
                <w:lang w:eastAsia="sl-SI"/>
              </w:rPr>
              <w:t>(vrednote)</w:t>
            </w:r>
          </w:p>
        </w:tc>
      </w:tr>
      <w:tr w:rsidR="003840FD" w:rsidRPr="00E525AF" w14:paraId="562250BF" w14:textId="77777777" w:rsidTr="00580769">
        <w:trPr>
          <w:trHeight w:val="300"/>
        </w:trPr>
        <w:tc>
          <w:tcPr>
            <w:tcW w:w="9923" w:type="dxa"/>
            <w:gridSpan w:val="6"/>
            <w:shd w:val="clear" w:color="auto" w:fill="E5B8B7" w:themeFill="accent2" w:themeFillTint="66"/>
            <w:noWrap/>
            <w:hideMark/>
          </w:tcPr>
          <w:p w14:paraId="6F6C0FC7" w14:textId="77777777" w:rsidR="003840FD" w:rsidRDefault="003840FD" w:rsidP="00406A3D">
            <w:pPr>
              <w:rPr>
                <w:rFonts w:ascii="Verdana" w:eastAsia="Times New Roman" w:hAnsi="Verdana" w:cs="Times New Roman"/>
                <w:b/>
                <w:bCs/>
                <w:color w:val="000000"/>
                <w:sz w:val="20"/>
                <w:szCs w:val="20"/>
                <w:lang w:eastAsia="sl-SI"/>
              </w:rPr>
            </w:pPr>
          </w:p>
          <w:p w14:paraId="18E39F89" w14:textId="77777777" w:rsidR="003840FD" w:rsidRPr="00E525AF" w:rsidRDefault="003840FD" w:rsidP="00406A3D">
            <w:pPr>
              <w:rPr>
                <w:rFonts w:ascii="Verdana" w:eastAsia="Times New Roman" w:hAnsi="Verdana" w:cs="Times New Roman"/>
                <w:b/>
                <w:bCs/>
                <w:color w:val="000000"/>
                <w:sz w:val="20"/>
                <w:szCs w:val="20"/>
                <w:lang w:eastAsia="sl-SI"/>
              </w:rPr>
            </w:pPr>
            <w:r w:rsidRPr="00E525AF">
              <w:rPr>
                <w:rFonts w:ascii="Verdana" w:eastAsia="Times New Roman" w:hAnsi="Verdana" w:cs="Times New Roman"/>
                <w:b/>
                <w:bCs/>
                <w:color w:val="000000"/>
                <w:sz w:val="20"/>
                <w:szCs w:val="20"/>
                <w:lang w:eastAsia="sl-SI"/>
              </w:rPr>
              <w:t xml:space="preserve">Analize, dokumenti, publikacije (predstavitev na seji sveta) </w:t>
            </w:r>
          </w:p>
          <w:p w14:paraId="2F727C96" w14:textId="2C1FBD16" w:rsidR="003840FD" w:rsidRPr="00E525AF" w:rsidRDefault="003840FD" w:rsidP="00406A3D">
            <w:pPr>
              <w:rPr>
                <w:rFonts w:ascii="Calibri" w:eastAsia="Times New Roman" w:hAnsi="Calibri" w:cs="Times New Roman"/>
                <w:color w:val="000000"/>
                <w:sz w:val="20"/>
                <w:szCs w:val="20"/>
                <w:lang w:eastAsia="sl-SI"/>
              </w:rPr>
            </w:pPr>
            <w:r w:rsidRPr="00E525AF">
              <w:rPr>
                <w:rFonts w:ascii="Verdana" w:eastAsia="Times New Roman" w:hAnsi="Verdana" w:cs="Times New Roman"/>
                <w:b/>
                <w:bCs/>
                <w:color w:val="000000"/>
                <w:sz w:val="20"/>
                <w:szCs w:val="20"/>
                <w:lang w:eastAsia="sl-SI"/>
              </w:rPr>
              <w:t> </w:t>
            </w:r>
          </w:p>
        </w:tc>
      </w:tr>
      <w:tr w:rsidR="00406A3D" w:rsidRPr="00E525AF" w14:paraId="57E0A6BE" w14:textId="77777777" w:rsidTr="00406A3D">
        <w:trPr>
          <w:trHeight w:val="510"/>
        </w:trPr>
        <w:tc>
          <w:tcPr>
            <w:tcW w:w="2694" w:type="dxa"/>
            <w:hideMark/>
          </w:tcPr>
          <w:p w14:paraId="7D808972"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Osnutek letne publikacije agencije</w:t>
            </w:r>
          </w:p>
        </w:tc>
        <w:tc>
          <w:tcPr>
            <w:tcW w:w="2976" w:type="dxa"/>
            <w:hideMark/>
          </w:tcPr>
          <w:p w14:paraId="4725E75B"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Opis dela agencije, letno poročilo, analiza samoevalvacij in zunanjih evalvacij...</w:t>
            </w:r>
          </w:p>
        </w:tc>
        <w:tc>
          <w:tcPr>
            <w:tcW w:w="1276" w:type="dxa"/>
            <w:hideMark/>
          </w:tcPr>
          <w:p w14:paraId="14295B2A" w14:textId="1834562D" w:rsidR="00406A3D" w:rsidRPr="00E525AF" w:rsidRDefault="00406A3D" w:rsidP="00ED351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NE</w:t>
            </w:r>
            <w:r w:rsidRPr="00C762A2">
              <w:rPr>
                <w:rFonts w:ascii="Verdana" w:eastAsia="Times New Roman" w:hAnsi="Verdana" w:cs="Times New Roman"/>
                <w:color w:val="000000"/>
                <w:sz w:val="20"/>
                <w:szCs w:val="20"/>
                <w:lang w:eastAsia="sl-SI"/>
              </w:rPr>
              <w:t xml:space="preserve">; </w:t>
            </w:r>
            <w:r w:rsidRPr="00FF0B53">
              <w:rPr>
                <w:rFonts w:ascii="Verdana" w:eastAsia="Times New Roman" w:hAnsi="Verdana" w:cs="Times New Roman"/>
                <w:color w:val="000000"/>
                <w:sz w:val="20"/>
                <w:szCs w:val="20"/>
                <w:lang w:eastAsia="sl-SI"/>
              </w:rPr>
              <w:t>novi datum</w:t>
            </w:r>
            <w:r w:rsidR="00B35E31" w:rsidRPr="00C762A2">
              <w:rPr>
                <w:rFonts w:ascii="Verdana" w:eastAsia="Times New Roman" w:hAnsi="Verdana" w:cs="Times New Roman"/>
                <w:color w:val="000000"/>
                <w:sz w:val="20"/>
                <w:szCs w:val="20"/>
                <w:lang w:eastAsia="sl-SI"/>
              </w:rPr>
              <w:t xml:space="preserve"> </w:t>
            </w:r>
            <w:r w:rsidR="00ED351D">
              <w:rPr>
                <w:rFonts w:ascii="Verdana" w:eastAsia="Times New Roman" w:hAnsi="Verdana" w:cs="Times New Roman"/>
                <w:color w:val="000000"/>
                <w:sz w:val="20"/>
                <w:szCs w:val="20"/>
                <w:lang w:eastAsia="sl-SI"/>
              </w:rPr>
              <w:t>1</w:t>
            </w:r>
            <w:r w:rsidR="00B35E31">
              <w:rPr>
                <w:rFonts w:ascii="Verdana" w:eastAsia="Times New Roman" w:hAnsi="Verdana" w:cs="Times New Roman"/>
                <w:color w:val="000000"/>
                <w:sz w:val="20"/>
                <w:szCs w:val="20"/>
                <w:lang w:eastAsia="sl-SI"/>
              </w:rPr>
              <w:t xml:space="preserve">. </w:t>
            </w:r>
            <w:r w:rsidR="00ED351D">
              <w:rPr>
                <w:rFonts w:ascii="Verdana" w:eastAsia="Times New Roman" w:hAnsi="Verdana" w:cs="Times New Roman"/>
                <w:color w:val="000000"/>
                <w:sz w:val="20"/>
                <w:szCs w:val="20"/>
                <w:lang w:eastAsia="sl-SI"/>
              </w:rPr>
              <w:t>3</w:t>
            </w:r>
            <w:r w:rsidR="00B35E31">
              <w:rPr>
                <w:rFonts w:ascii="Verdana" w:eastAsia="Times New Roman" w:hAnsi="Verdana" w:cs="Times New Roman"/>
                <w:color w:val="000000"/>
                <w:sz w:val="20"/>
                <w:szCs w:val="20"/>
                <w:lang w:eastAsia="sl-SI"/>
              </w:rPr>
              <w:t>. 2019</w:t>
            </w:r>
          </w:p>
        </w:tc>
        <w:tc>
          <w:tcPr>
            <w:tcW w:w="851" w:type="dxa"/>
            <w:hideMark/>
          </w:tcPr>
          <w:p w14:paraId="119B0A37"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h</w:t>
            </w:r>
          </w:p>
        </w:tc>
        <w:tc>
          <w:tcPr>
            <w:tcW w:w="1134" w:type="dxa"/>
            <w:noWrap/>
            <w:hideMark/>
          </w:tcPr>
          <w:p w14:paraId="03E39D0D"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c>
          <w:tcPr>
            <w:tcW w:w="992" w:type="dxa"/>
            <w:hideMark/>
          </w:tcPr>
          <w:p w14:paraId="4E0CB09F"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b</w:t>
            </w:r>
          </w:p>
        </w:tc>
      </w:tr>
      <w:tr w:rsidR="00406A3D" w:rsidRPr="00E525AF" w14:paraId="1C7809A9" w14:textId="77777777" w:rsidTr="00406A3D">
        <w:trPr>
          <w:trHeight w:val="510"/>
        </w:trPr>
        <w:tc>
          <w:tcPr>
            <w:tcW w:w="2694" w:type="dxa"/>
            <w:hideMark/>
          </w:tcPr>
          <w:p w14:paraId="60699ED6"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 xml:space="preserve">Poslovnik kakovosti agencije </w:t>
            </w:r>
          </w:p>
        </w:tc>
        <w:tc>
          <w:tcPr>
            <w:tcW w:w="2976" w:type="dxa"/>
            <w:hideMark/>
          </w:tcPr>
          <w:p w14:paraId="4EFF7373"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Posodobitev in uskladitev z novimi predpisi agencije.</w:t>
            </w:r>
          </w:p>
        </w:tc>
        <w:tc>
          <w:tcPr>
            <w:tcW w:w="1276" w:type="dxa"/>
            <w:hideMark/>
          </w:tcPr>
          <w:p w14:paraId="38FCD859"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NE</w:t>
            </w:r>
            <w:r>
              <w:rPr>
                <w:rFonts w:ascii="Verdana" w:eastAsia="Times New Roman" w:hAnsi="Verdana" w:cs="Times New Roman"/>
                <w:color w:val="000000"/>
                <w:sz w:val="20"/>
                <w:szCs w:val="20"/>
                <w:lang w:eastAsia="sl-SI"/>
              </w:rPr>
              <w:t>; novi datum 15. 2. 2019</w:t>
            </w:r>
          </w:p>
        </w:tc>
        <w:tc>
          <w:tcPr>
            <w:tcW w:w="851" w:type="dxa"/>
            <w:noWrap/>
            <w:hideMark/>
          </w:tcPr>
          <w:p w14:paraId="57049271"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c>
          <w:tcPr>
            <w:tcW w:w="1134" w:type="dxa"/>
            <w:noWrap/>
            <w:hideMark/>
          </w:tcPr>
          <w:p w14:paraId="6572D729"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b</w:t>
            </w:r>
          </w:p>
        </w:tc>
        <w:tc>
          <w:tcPr>
            <w:tcW w:w="992" w:type="dxa"/>
            <w:hideMark/>
          </w:tcPr>
          <w:p w14:paraId="01B51F22"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r>
      <w:tr w:rsidR="00406A3D" w:rsidRPr="00E525AF" w14:paraId="200BDB46" w14:textId="77777777" w:rsidTr="00406A3D">
        <w:trPr>
          <w:trHeight w:val="510"/>
        </w:trPr>
        <w:tc>
          <w:tcPr>
            <w:tcW w:w="2694" w:type="dxa"/>
            <w:hideMark/>
          </w:tcPr>
          <w:p w14:paraId="4417559D"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Zaposljivost diplomantov po zavodih</w:t>
            </w:r>
          </w:p>
        </w:tc>
        <w:tc>
          <w:tcPr>
            <w:tcW w:w="2976" w:type="dxa"/>
            <w:hideMark/>
          </w:tcPr>
          <w:p w14:paraId="4E3C41E0"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Priprava in objava podatkov o zaposljivosti v sodelovanju z ZZ.</w:t>
            </w:r>
          </w:p>
        </w:tc>
        <w:tc>
          <w:tcPr>
            <w:tcW w:w="1276" w:type="dxa"/>
            <w:hideMark/>
          </w:tcPr>
          <w:p w14:paraId="78B8000B"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NE</w:t>
            </w:r>
            <w:r>
              <w:rPr>
                <w:rFonts w:ascii="Verdana" w:eastAsia="Times New Roman" w:hAnsi="Verdana" w:cs="Times New Roman"/>
                <w:color w:val="000000"/>
                <w:sz w:val="20"/>
                <w:szCs w:val="20"/>
                <w:lang w:eastAsia="sl-SI"/>
              </w:rPr>
              <w:t>; novi datum 15. 1. 2019</w:t>
            </w:r>
          </w:p>
        </w:tc>
        <w:tc>
          <w:tcPr>
            <w:tcW w:w="851" w:type="dxa"/>
            <w:noWrap/>
            <w:hideMark/>
          </w:tcPr>
          <w:p w14:paraId="45E6A5C0"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e</w:t>
            </w:r>
          </w:p>
        </w:tc>
        <w:tc>
          <w:tcPr>
            <w:tcW w:w="1134" w:type="dxa"/>
            <w:noWrap/>
            <w:hideMark/>
          </w:tcPr>
          <w:p w14:paraId="3C71850D"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e</w:t>
            </w:r>
          </w:p>
        </w:tc>
        <w:tc>
          <w:tcPr>
            <w:tcW w:w="992" w:type="dxa"/>
            <w:hideMark/>
          </w:tcPr>
          <w:p w14:paraId="6A0A1671"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b</w:t>
            </w:r>
          </w:p>
        </w:tc>
      </w:tr>
      <w:tr w:rsidR="00406A3D" w:rsidRPr="00E525AF" w14:paraId="4873C371" w14:textId="77777777" w:rsidTr="00406A3D">
        <w:trPr>
          <w:trHeight w:val="525"/>
        </w:trPr>
        <w:tc>
          <w:tcPr>
            <w:tcW w:w="2694" w:type="dxa"/>
            <w:hideMark/>
          </w:tcPr>
          <w:p w14:paraId="01E7C754"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Poročilo o kadrih v visokem šolstvu</w:t>
            </w:r>
          </w:p>
        </w:tc>
        <w:tc>
          <w:tcPr>
            <w:tcW w:w="2976" w:type="dxa"/>
            <w:hideMark/>
          </w:tcPr>
          <w:p w14:paraId="33D68C27"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Poročilo o kakovosti pedagoškega in raziskovalnega dela visokošolskih učiteljev na podlagi ugotovitev v poročilih skupin strokovnjakov.</w:t>
            </w:r>
          </w:p>
        </w:tc>
        <w:tc>
          <w:tcPr>
            <w:tcW w:w="1276" w:type="dxa"/>
            <w:hideMark/>
          </w:tcPr>
          <w:p w14:paraId="48CB7535"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noWrap/>
            <w:hideMark/>
          </w:tcPr>
          <w:p w14:paraId="405C5635"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h</w:t>
            </w:r>
          </w:p>
        </w:tc>
        <w:tc>
          <w:tcPr>
            <w:tcW w:w="1134" w:type="dxa"/>
            <w:noWrap/>
            <w:hideMark/>
          </w:tcPr>
          <w:p w14:paraId="316414EF"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c>
          <w:tcPr>
            <w:tcW w:w="992" w:type="dxa"/>
            <w:hideMark/>
          </w:tcPr>
          <w:p w14:paraId="6783DAF4"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r>
      <w:tr w:rsidR="003840FD" w:rsidRPr="00E525AF" w14:paraId="647FB0CE" w14:textId="77777777" w:rsidTr="00580769">
        <w:trPr>
          <w:trHeight w:val="300"/>
        </w:trPr>
        <w:tc>
          <w:tcPr>
            <w:tcW w:w="9923" w:type="dxa"/>
            <w:gridSpan w:val="6"/>
            <w:shd w:val="clear" w:color="auto" w:fill="E5B8B7" w:themeFill="accent2" w:themeFillTint="66"/>
            <w:hideMark/>
          </w:tcPr>
          <w:p w14:paraId="769D4282" w14:textId="77777777" w:rsidR="003840FD" w:rsidRDefault="003840FD" w:rsidP="00406A3D">
            <w:pPr>
              <w:rPr>
                <w:rFonts w:ascii="Verdana" w:eastAsia="Times New Roman" w:hAnsi="Verdana" w:cs="Times New Roman"/>
                <w:b/>
                <w:bCs/>
                <w:color w:val="000000"/>
                <w:sz w:val="20"/>
                <w:szCs w:val="20"/>
                <w:lang w:eastAsia="sl-SI"/>
              </w:rPr>
            </w:pPr>
          </w:p>
          <w:p w14:paraId="349C98C3" w14:textId="77777777" w:rsidR="003840FD" w:rsidRPr="00E525AF" w:rsidRDefault="003840FD" w:rsidP="00406A3D">
            <w:pPr>
              <w:rPr>
                <w:rFonts w:ascii="Verdana" w:eastAsia="Times New Roman" w:hAnsi="Verdana" w:cs="Times New Roman"/>
                <w:b/>
                <w:bCs/>
                <w:color w:val="000000"/>
                <w:sz w:val="20"/>
                <w:szCs w:val="20"/>
                <w:lang w:eastAsia="sl-SI"/>
              </w:rPr>
            </w:pPr>
            <w:r w:rsidRPr="00E525AF">
              <w:rPr>
                <w:rFonts w:ascii="Verdana" w:eastAsia="Times New Roman" w:hAnsi="Verdana" w:cs="Times New Roman"/>
                <w:b/>
                <w:bCs/>
                <w:color w:val="000000"/>
                <w:sz w:val="20"/>
                <w:szCs w:val="20"/>
                <w:lang w:eastAsia="sl-SI"/>
              </w:rPr>
              <w:t xml:space="preserve">Mednarodno delovanje </w:t>
            </w:r>
          </w:p>
          <w:p w14:paraId="004EA795" w14:textId="7CAE001B" w:rsidR="003840FD" w:rsidRPr="00E525AF" w:rsidRDefault="003840F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b/>
                <w:bCs/>
                <w:color w:val="000000"/>
                <w:sz w:val="20"/>
                <w:szCs w:val="20"/>
                <w:lang w:eastAsia="sl-SI"/>
              </w:rPr>
              <w:t> </w:t>
            </w:r>
          </w:p>
        </w:tc>
      </w:tr>
      <w:tr w:rsidR="00406A3D" w:rsidRPr="00E525AF" w14:paraId="6441A100" w14:textId="77777777" w:rsidTr="00406A3D">
        <w:trPr>
          <w:trHeight w:val="765"/>
        </w:trPr>
        <w:tc>
          <w:tcPr>
            <w:tcW w:w="2694" w:type="dxa"/>
            <w:hideMark/>
          </w:tcPr>
          <w:p w14:paraId="11AEB917"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Udeležba na skupščinah, delavnicah in drugih dogodkih: ECA, CEENQA, ENQA, EQAR, INQAAHE</w:t>
            </w:r>
          </w:p>
        </w:tc>
        <w:tc>
          <w:tcPr>
            <w:tcW w:w="2976" w:type="dxa"/>
            <w:hideMark/>
          </w:tcPr>
          <w:p w14:paraId="76FF5895"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 xml:space="preserve">Aktivna udeležba zaposlenih v delovnih skupinah mednarodnih združenj in upravnih odborih.   </w:t>
            </w:r>
          </w:p>
        </w:tc>
        <w:tc>
          <w:tcPr>
            <w:tcW w:w="1276" w:type="dxa"/>
            <w:hideMark/>
          </w:tcPr>
          <w:p w14:paraId="3CF632E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noWrap/>
            <w:hideMark/>
          </w:tcPr>
          <w:p w14:paraId="4C0CB664"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f</w:t>
            </w:r>
          </w:p>
        </w:tc>
        <w:tc>
          <w:tcPr>
            <w:tcW w:w="1134" w:type="dxa"/>
            <w:noWrap/>
            <w:hideMark/>
          </w:tcPr>
          <w:p w14:paraId="1EBE03A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c>
          <w:tcPr>
            <w:tcW w:w="992" w:type="dxa"/>
            <w:hideMark/>
          </w:tcPr>
          <w:p w14:paraId="7A9FEC85"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r>
      <w:tr w:rsidR="00406A3D" w:rsidRPr="00E525AF" w14:paraId="29AB6C15" w14:textId="77777777" w:rsidTr="00406A3D">
        <w:trPr>
          <w:trHeight w:val="1785"/>
        </w:trPr>
        <w:tc>
          <w:tcPr>
            <w:tcW w:w="2694" w:type="dxa"/>
            <w:hideMark/>
          </w:tcPr>
          <w:p w14:paraId="44CA726A"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Priprava odgovora na poročilo ENQA</w:t>
            </w:r>
          </w:p>
        </w:tc>
        <w:tc>
          <w:tcPr>
            <w:tcW w:w="2976" w:type="dxa"/>
            <w:hideMark/>
          </w:tcPr>
          <w:p w14:paraId="25941830"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 xml:space="preserve">Odgovor na poročilo z utemeljitvami, usklajevanje z notranjimi deležniki agencije in s sekretariatom ENQA, razdelitev nalog in priprava dodatne dokumentacije (komunikacijski načrt, postopkovnik, metodologija za pripravo tematskih analiz, ureditev spletnih strani agencije, </w:t>
            </w:r>
            <w:r w:rsidRPr="00E525AF">
              <w:rPr>
                <w:rFonts w:ascii="Verdana" w:eastAsia="Times New Roman" w:hAnsi="Verdana" w:cs="Times New Roman"/>
                <w:color w:val="000000"/>
                <w:sz w:val="20"/>
                <w:szCs w:val="20"/>
                <w:lang w:eastAsia="sl-SI"/>
              </w:rPr>
              <w:lastRenderedPageBreak/>
              <w:t>FAQ, načrt razvoja kadrov).</w:t>
            </w:r>
          </w:p>
        </w:tc>
        <w:tc>
          <w:tcPr>
            <w:tcW w:w="1276" w:type="dxa"/>
            <w:hideMark/>
          </w:tcPr>
          <w:p w14:paraId="3D70AE72"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lastRenderedPageBreak/>
              <w:t>DA</w:t>
            </w:r>
          </w:p>
        </w:tc>
        <w:tc>
          <w:tcPr>
            <w:tcW w:w="851" w:type="dxa"/>
            <w:noWrap/>
            <w:hideMark/>
          </w:tcPr>
          <w:p w14:paraId="26E1306B"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f</w:t>
            </w:r>
          </w:p>
        </w:tc>
        <w:tc>
          <w:tcPr>
            <w:tcW w:w="1134" w:type="dxa"/>
            <w:noWrap/>
            <w:hideMark/>
          </w:tcPr>
          <w:p w14:paraId="280B4D04"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c>
          <w:tcPr>
            <w:tcW w:w="992" w:type="dxa"/>
            <w:noWrap/>
            <w:hideMark/>
          </w:tcPr>
          <w:p w14:paraId="54966B9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r>
      <w:tr w:rsidR="00406A3D" w:rsidRPr="00E525AF" w14:paraId="6BD31369" w14:textId="77777777" w:rsidTr="00406A3D">
        <w:trPr>
          <w:trHeight w:val="300"/>
        </w:trPr>
        <w:tc>
          <w:tcPr>
            <w:tcW w:w="2694" w:type="dxa"/>
            <w:hideMark/>
          </w:tcPr>
          <w:p w14:paraId="305E39BF"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lastRenderedPageBreak/>
              <w:t xml:space="preserve">Obisk avstrijske agencije za kakovost </w:t>
            </w:r>
          </w:p>
        </w:tc>
        <w:tc>
          <w:tcPr>
            <w:tcW w:w="2976" w:type="dxa"/>
            <w:hideMark/>
          </w:tcPr>
          <w:p w14:paraId="29DA1F3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Dogovor o vzporedni akreditaciji/evalvaciji UL.</w:t>
            </w:r>
          </w:p>
        </w:tc>
        <w:tc>
          <w:tcPr>
            <w:tcW w:w="1276" w:type="dxa"/>
            <w:hideMark/>
          </w:tcPr>
          <w:p w14:paraId="2FED529C"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noWrap/>
            <w:hideMark/>
          </w:tcPr>
          <w:p w14:paraId="3E86F048"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f</w:t>
            </w:r>
          </w:p>
        </w:tc>
        <w:tc>
          <w:tcPr>
            <w:tcW w:w="1134" w:type="dxa"/>
            <w:noWrap/>
            <w:hideMark/>
          </w:tcPr>
          <w:p w14:paraId="59BCCA2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c>
          <w:tcPr>
            <w:tcW w:w="992" w:type="dxa"/>
            <w:noWrap/>
            <w:hideMark/>
          </w:tcPr>
          <w:p w14:paraId="3AA52040"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r>
      <w:tr w:rsidR="00406A3D" w:rsidRPr="00E525AF" w14:paraId="6E52E0E3" w14:textId="77777777" w:rsidTr="00406A3D">
        <w:trPr>
          <w:trHeight w:val="300"/>
        </w:trPr>
        <w:tc>
          <w:tcPr>
            <w:tcW w:w="2694" w:type="dxa"/>
            <w:hideMark/>
          </w:tcPr>
          <w:p w14:paraId="1B9C8D05"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Obisk ruske agencije za kakovost</w:t>
            </w:r>
          </w:p>
        </w:tc>
        <w:tc>
          <w:tcPr>
            <w:tcW w:w="2976" w:type="dxa"/>
            <w:hideMark/>
          </w:tcPr>
          <w:p w14:paraId="5FDAC59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 xml:space="preserve">Dogovori o možnostih za sodelovanje. </w:t>
            </w:r>
          </w:p>
        </w:tc>
        <w:tc>
          <w:tcPr>
            <w:tcW w:w="1276" w:type="dxa"/>
            <w:hideMark/>
          </w:tcPr>
          <w:p w14:paraId="66DC1F34"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noWrap/>
            <w:hideMark/>
          </w:tcPr>
          <w:p w14:paraId="25A601C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f</w:t>
            </w:r>
          </w:p>
        </w:tc>
        <w:tc>
          <w:tcPr>
            <w:tcW w:w="1134" w:type="dxa"/>
            <w:noWrap/>
            <w:hideMark/>
          </w:tcPr>
          <w:p w14:paraId="6CA01599"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c>
          <w:tcPr>
            <w:tcW w:w="992" w:type="dxa"/>
            <w:noWrap/>
            <w:hideMark/>
          </w:tcPr>
          <w:p w14:paraId="54697FA6"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r>
      <w:tr w:rsidR="00406A3D" w:rsidRPr="00E525AF" w14:paraId="282B59F8" w14:textId="77777777" w:rsidTr="00406A3D">
        <w:trPr>
          <w:trHeight w:val="570"/>
        </w:trPr>
        <w:tc>
          <w:tcPr>
            <w:tcW w:w="2694" w:type="dxa"/>
            <w:hideMark/>
          </w:tcPr>
          <w:p w14:paraId="7C8A5FA5"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Načrt internacionalizacije agencije</w:t>
            </w:r>
          </w:p>
        </w:tc>
        <w:tc>
          <w:tcPr>
            <w:tcW w:w="2976" w:type="dxa"/>
            <w:hideMark/>
          </w:tcPr>
          <w:p w14:paraId="63842E75"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Določitev prioritet na področju mednarodnega delovanja in sodelovanja agencije, mednarodna primerljivost, sodelovanje v mednarodnih projektih, vodenje in sodelovanje pri mednarodnih dogodkih.</w:t>
            </w:r>
          </w:p>
        </w:tc>
        <w:tc>
          <w:tcPr>
            <w:tcW w:w="1276" w:type="dxa"/>
            <w:hideMark/>
          </w:tcPr>
          <w:p w14:paraId="60F71F89"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NE</w:t>
            </w:r>
            <w:r>
              <w:rPr>
                <w:rFonts w:ascii="Verdana" w:eastAsia="Times New Roman" w:hAnsi="Verdana" w:cs="Times New Roman"/>
                <w:color w:val="000000"/>
                <w:sz w:val="20"/>
                <w:szCs w:val="20"/>
                <w:lang w:eastAsia="sl-SI"/>
              </w:rPr>
              <w:t>; novi datum 1. 3. 2019</w:t>
            </w:r>
          </w:p>
        </w:tc>
        <w:tc>
          <w:tcPr>
            <w:tcW w:w="851" w:type="dxa"/>
            <w:noWrap/>
            <w:hideMark/>
          </w:tcPr>
          <w:p w14:paraId="0381AD3B"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f</w:t>
            </w:r>
          </w:p>
        </w:tc>
        <w:tc>
          <w:tcPr>
            <w:tcW w:w="1134" w:type="dxa"/>
            <w:noWrap/>
            <w:hideMark/>
          </w:tcPr>
          <w:p w14:paraId="20DF5779"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c>
          <w:tcPr>
            <w:tcW w:w="992" w:type="dxa"/>
            <w:noWrap/>
            <w:hideMark/>
          </w:tcPr>
          <w:p w14:paraId="332B88C9"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r>
      <w:tr w:rsidR="003840FD" w:rsidRPr="00E525AF" w14:paraId="2707486B" w14:textId="77777777" w:rsidTr="00580769">
        <w:trPr>
          <w:trHeight w:val="525"/>
        </w:trPr>
        <w:tc>
          <w:tcPr>
            <w:tcW w:w="9923" w:type="dxa"/>
            <w:gridSpan w:val="6"/>
            <w:shd w:val="clear" w:color="auto" w:fill="E5B8B7" w:themeFill="accent2" w:themeFillTint="66"/>
            <w:noWrap/>
            <w:hideMark/>
          </w:tcPr>
          <w:p w14:paraId="477F7ACF" w14:textId="77777777" w:rsidR="003840FD" w:rsidRDefault="003840FD" w:rsidP="00406A3D">
            <w:pPr>
              <w:rPr>
                <w:rFonts w:ascii="Verdana" w:eastAsia="Times New Roman" w:hAnsi="Verdana" w:cs="Times New Roman"/>
                <w:b/>
                <w:bCs/>
                <w:color w:val="000000"/>
                <w:sz w:val="20"/>
                <w:szCs w:val="20"/>
                <w:lang w:eastAsia="sl-SI"/>
              </w:rPr>
            </w:pPr>
          </w:p>
          <w:p w14:paraId="363C6F1D" w14:textId="77777777" w:rsidR="003840FD" w:rsidRPr="00E525AF" w:rsidRDefault="003840FD" w:rsidP="00406A3D">
            <w:pPr>
              <w:rPr>
                <w:rFonts w:ascii="Verdana" w:eastAsia="Times New Roman" w:hAnsi="Verdana" w:cs="Times New Roman"/>
                <w:b/>
                <w:bCs/>
                <w:color w:val="000000"/>
                <w:sz w:val="20"/>
                <w:szCs w:val="20"/>
                <w:lang w:eastAsia="sl-SI"/>
              </w:rPr>
            </w:pPr>
            <w:r w:rsidRPr="00E525AF">
              <w:rPr>
                <w:rFonts w:ascii="Verdana" w:eastAsia="Times New Roman" w:hAnsi="Verdana" w:cs="Times New Roman"/>
                <w:b/>
                <w:bCs/>
                <w:color w:val="000000"/>
                <w:sz w:val="20"/>
                <w:szCs w:val="20"/>
                <w:lang w:eastAsia="sl-SI"/>
              </w:rPr>
              <w:t xml:space="preserve">eNakvis in povezovanje s podatkovnimi bazami (SICRIS, IZUM…) </w:t>
            </w:r>
          </w:p>
          <w:p w14:paraId="3D9C0F64" w14:textId="0034A861" w:rsidR="003840FD" w:rsidRPr="00E525AF" w:rsidRDefault="003840FD" w:rsidP="00406A3D">
            <w:pPr>
              <w:rPr>
                <w:rFonts w:ascii="Verdana" w:eastAsia="Times New Roman" w:hAnsi="Verdana" w:cs="Times New Roman"/>
                <w:color w:val="000000"/>
                <w:sz w:val="20"/>
                <w:szCs w:val="20"/>
                <w:lang w:eastAsia="sl-SI"/>
              </w:rPr>
            </w:pPr>
          </w:p>
        </w:tc>
      </w:tr>
      <w:tr w:rsidR="00406A3D" w:rsidRPr="00E525AF" w14:paraId="4549FB77" w14:textId="77777777" w:rsidTr="00406A3D">
        <w:trPr>
          <w:trHeight w:val="510"/>
        </w:trPr>
        <w:tc>
          <w:tcPr>
            <w:tcW w:w="2694" w:type="dxa"/>
            <w:hideMark/>
          </w:tcPr>
          <w:p w14:paraId="5D720996"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 xml:space="preserve">Ureditev podatkov za eVŠ </w:t>
            </w:r>
          </w:p>
        </w:tc>
        <w:tc>
          <w:tcPr>
            <w:tcW w:w="2976" w:type="dxa"/>
            <w:hideMark/>
          </w:tcPr>
          <w:p w14:paraId="7AE69BBA"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 xml:space="preserve">Sinhronizacija baz podatkov z eVŠ; vnašanje podatkov iz vlog…  </w:t>
            </w:r>
          </w:p>
        </w:tc>
        <w:tc>
          <w:tcPr>
            <w:tcW w:w="1276" w:type="dxa"/>
            <w:hideMark/>
          </w:tcPr>
          <w:p w14:paraId="7BF11F69"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DELNO</w:t>
            </w:r>
            <w:r>
              <w:rPr>
                <w:rFonts w:ascii="Verdana" w:eastAsia="Times New Roman" w:hAnsi="Verdana" w:cs="Times New Roman"/>
                <w:color w:val="000000"/>
                <w:sz w:val="20"/>
                <w:szCs w:val="20"/>
                <w:lang w:eastAsia="sl-SI"/>
              </w:rPr>
              <w:t>; novi datum 10. 1. 2019</w:t>
            </w:r>
          </w:p>
        </w:tc>
        <w:tc>
          <w:tcPr>
            <w:tcW w:w="851" w:type="dxa"/>
            <w:noWrap/>
            <w:hideMark/>
          </w:tcPr>
          <w:p w14:paraId="6C4EEE1C"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e</w:t>
            </w:r>
          </w:p>
        </w:tc>
        <w:tc>
          <w:tcPr>
            <w:tcW w:w="1134" w:type="dxa"/>
            <w:noWrap/>
            <w:hideMark/>
          </w:tcPr>
          <w:p w14:paraId="2B11A8D3"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e</w:t>
            </w:r>
          </w:p>
        </w:tc>
        <w:tc>
          <w:tcPr>
            <w:tcW w:w="992" w:type="dxa"/>
            <w:noWrap/>
            <w:hideMark/>
          </w:tcPr>
          <w:p w14:paraId="5F867BD8"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b</w:t>
            </w:r>
          </w:p>
        </w:tc>
      </w:tr>
      <w:tr w:rsidR="00406A3D" w:rsidRPr="00E525AF" w14:paraId="055A3C34" w14:textId="77777777" w:rsidTr="00406A3D">
        <w:trPr>
          <w:trHeight w:val="810"/>
        </w:trPr>
        <w:tc>
          <w:tcPr>
            <w:tcW w:w="2694" w:type="dxa"/>
            <w:hideMark/>
          </w:tcPr>
          <w:p w14:paraId="4240D095"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Ureditev obrazcev za vloge - spremembe programov</w:t>
            </w:r>
          </w:p>
        </w:tc>
        <w:tc>
          <w:tcPr>
            <w:tcW w:w="2976" w:type="dxa"/>
            <w:hideMark/>
          </w:tcPr>
          <w:p w14:paraId="4B8EC17D"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Omejitev števila znakov pri odgovorih zavodov/šol, označitev obveznega izpolnjevanja posameznih razdelkov vloge…; postavitev obrazcev za spremembe programov, šole.</w:t>
            </w:r>
          </w:p>
        </w:tc>
        <w:tc>
          <w:tcPr>
            <w:tcW w:w="1276" w:type="dxa"/>
            <w:hideMark/>
          </w:tcPr>
          <w:p w14:paraId="3EA1BEB0"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DELNO</w:t>
            </w:r>
            <w:r>
              <w:rPr>
                <w:rFonts w:ascii="Verdana" w:eastAsia="Times New Roman" w:hAnsi="Verdana" w:cs="Times New Roman"/>
                <w:color w:val="000000"/>
                <w:sz w:val="20"/>
                <w:szCs w:val="20"/>
                <w:lang w:eastAsia="sl-SI"/>
              </w:rPr>
              <w:t>; novi datum 10. 1. 2019</w:t>
            </w:r>
          </w:p>
        </w:tc>
        <w:tc>
          <w:tcPr>
            <w:tcW w:w="851" w:type="dxa"/>
            <w:noWrap/>
            <w:hideMark/>
          </w:tcPr>
          <w:p w14:paraId="5E1D3D74"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w:t>
            </w:r>
          </w:p>
        </w:tc>
        <w:tc>
          <w:tcPr>
            <w:tcW w:w="1134" w:type="dxa"/>
            <w:noWrap/>
            <w:hideMark/>
          </w:tcPr>
          <w:p w14:paraId="22CB6AFA"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c>
          <w:tcPr>
            <w:tcW w:w="992" w:type="dxa"/>
            <w:noWrap/>
            <w:hideMark/>
          </w:tcPr>
          <w:p w14:paraId="70D3B882"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r>
      <w:tr w:rsidR="00406A3D" w:rsidRPr="00E525AF" w14:paraId="1531516D" w14:textId="77777777" w:rsidTr="00406A3D">
        <w:trPr>
          <w:trHeight w:val="510"/>
        </w:trPr>
        <w:tc>
          <w:tcPr>
            <w:tcW w:w="2694" w:type="dxa"/>
            <w:shd w:val="clear" w:color="auto" w:fill="E5DFEC" w:themeFill="accent4" w:themeFillTint="33"/>
            <w:hideMark/>
          </w:tcPr>
          <w:p w14:paraId="71C45CCC"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Ureditev obrazcev za vloge - spremembe programov</w:t>
            </w:r>
            <w:r w:rsidRPr="00E525AF">
              <w:rPr>
                <w:rFonts w:ascii="Verdana" w:eastAsia="Times New Roman" w:hAnsi="Verdana" w:cs="Times New Roman"/>
                <w:color w:val="000000"/>
                <w:sz w:val="20"/>
                <w:szCs w:val="20"/>
                <w:lang w:eastAsia="sl-SI"/>
              </w:rPr>
              <w:br/>
              <w:t>Povezava eNakvis s sistemom UL</w:t>
            </w:r>
          </w:p>
        </w:tc>
        <w:tc>
          <w:tcPr>
            <w:tcW w:w="2976" w:type="dxa"/>
            <w:shd w:val="clear" w:color="auto" w:fill="E5DFEC" w:themeFill="accent4" w:themeFillTint="33"/>
            <w:hideMark/>
          </w:tcPr>
          <w:p w14:paraId="1528EA02"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 </w:t>
            </w:r>
          </w:p>
        </w:tc>
        <w:tc>
          <w:tcPr>
            <w:tcW w:w="1276" w:type="dxa"/>
            <w:shd w:val="clear" w:color="auto" w:fill="E5DFEC" w:themeFill="accent4" w:themeFillTint="33"/>
            <w:hideMark/>
          </w:tcPr>
          <w:p w14:paraId="5DA617C8"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NE</w:t>
            </w:r>
            <w:r>
              <w:rPr>
                <w:rFonts w:ascii="Verdana" w:eastAsia="Times New Roman" w:hAnsi="Verdana" w:cs="Times New Roman"/>
                <w:color w:val="000000"/>
                <w:sz w:val="20"/>
                <w:szCs w:val="20"/>
                <w:lang w:eastAsia="sl-SI"/>
              </w:rPr>
              <w:t>; novi datum 10. 1. 2019</w:t>
            </w:r>
          </w:p>
        </w:tc>
        <w:tc>
          <w:tcPr>
            <w:tcW w:w="851" w:type="dxa"/>
            <w:shd w:val="clear" w:color="auto" w:fill="E5DFEC" w:themeFill="accent4" w:themeFillTint="33"/>
            <w:noWrap/>
            <w:hideMark/>
          </w:tcPr>
          <w:p w14:paraId="47EB3151"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w:t>
            </w:r>
          </w:p>
        </w:tc>
        <w:tc>
          <w:tcPr>
            <w:tcW w:w="1134" w:type="dxa"/>
            <w:shd w:val="clear" w:color="auto" w:fill="E5DFEC" w:themeFill="accent4" w:themeFillTint="33"/>
            <w:noWrap/>
            <w:hideMark/>
          </w:tcPr>
          <w:p w14:paraId="24CFCC37"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c>
          <w:tcPr>
            <w:tcW w:w="992" w:type="dxa"/>
            <w:shd w:val="clear" w:color="auto" w:fill="E5DFEC" w:themeFill="accent4" w:themeFillTint="33"/>
            <w:noWrap/>
            <w:hideMark/>
          </w:tcPr>
          <w:p w14:paraId="52DA2103"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r>
      <w:tr w:rsidR="00406A3D" w:rsidRPr="00E525AF" w14:paraId="33EB3C3E" w14:textId="77777777" w:rsidTr="00406A3D">
        <w:trPr>
          <w:trHeight w:val="1575"/>
        </w:trPr>
        <w:tc>
          <w:tcPr>
            <w:tcW w:w="2694" w:type="dxa"/>
            <w:hideMark/>
          </w:tcPr>
          <w:p w14:paraId="200D7434"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Javno naročilo za izvajalca eNakvis</w:t>
            </w:r>
          </w:p>
        </w:tc>
        <w:tc>
          <w:tcPr>
            <w:tcW w:w="2976" w:type="dxa"/>
            <w:hideMark/>
          </w:tcPr>
          <w:p w14:paraId="3F2FABCF"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Pomoč pri pripravi razpisne dokumentacije, izvedba naročila, izbira novega izvajalca, usklajevanje pričakovanj in zahtev agencije, sodelovanje z izvajalcem, nadzor nad izvajanjem del, skrbništvo pogodb.</w:t>
            </w:r>
          </w:p>
        </w:tc>
        <w:tc>
          <w:tcPr>
            <w:tcW w:w="1276" w:type="dxa"/>
            <w:hideMark/>
          </w:tcPr>
          <w:p w14:paraId="22DEF187"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noWrap/>
            <w:hideMark/>
          </w:tcPr>
          <w:p w14:paraId="5DE48CE7"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e</w:t>
            </w:r>
          </w:p>
        </w:tc>
        <w:tc>
          <w:tcPr>
            <w:tcW w:w="1134" w:type="dxa"/>
            <w:noWrap/>
            <w:hideMark/>
          </w:tcPr>
          <w:p w14:paraId="23FE50FD"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e</w:t>
            </w:r>
          </w:p>
        </w:tc>
        <w:tc>
          <w:tcPr>
            <w:tcW w:w="992" w:type="dxa"/>
            <w:noWrap/>
            <w:hideMark/>
          </w:tcPr>
          <w:p w14:paraId="6E75AFE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b</w:t>
            </w:r>
          </w:p>
        </w:tc>
      </w:tr>
      <w:tr w:rsidR="00406A3D" w:rsidRPr="00E525AF" w14:paraId="3119DCD0" w14:textId="77777777" w:rsidTr="00406A3D">
        <w:trPr>
          <w:trHeight w:val="1275"/>
        </w:trPr>
        <w:tc>
          <w:tcPr>
            <w:tcW w:w="2694" w:type="dxa"/>
            <w:shd w:val="clear" w:color="auto" w:fill="E5DFEC" w:themeFill="accent4" w:themeFillTint="33"/>
            <w:hideMark/>
          </w:tcPr>
          <w:p w14:paraId="6272D6E3"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lastRenderedPageBreak/>
              <w:t>Zbiranje ponudb za spletno stran</w:t>
            </w:r>
          </w:p>
        </w:tc>
        <w:tc>
          <w:tcPr>
            <w:tcW w:w="2976" w:type="dxa"/>
            <w:shd w:val="clear" w:color="auto" w:fill="E5DFEC" w:themeFill="accent4" w:themeFillTint="33"/>
            <w:hideMark/>
          </w:tcPr>
          <w:p w14:paraId="6AAA9D6D"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Pomoč pri pripravi razpisne dokumentacije, izvedba naročila, izbira novega izvajalca, usklajevanje pričakovanj in zahtev agencije, sodelovanje z izvajalcem, nadzor nad izvajanjem del, skrbništvo pogodb.</w:t>
            </w:r>
          </w:p>
        </w:tc>
        <w:tc>
          <w:tcPr>
            <w:tcW w:w="1276" w:type="dxa"/>
            <w:shd w:val="clear" w:color="auto" w:fill="E5DFEC" w:themeFill="accent4" w:themeFillTint="33"/>
            <w:hideMark/>
          </w:tcPr>
          <w:p w14:paraId="2E664C12"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shd w:val="clear" w:color="auto" w:fill="E5DFEC" w:themeFill="accent4" w:themeFillTint="33"/>
            <w:noWrap/>
            <w:hideMark/>
          </w:tcPr>
          <w:p w14:paraId="2581107A"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e</w:t>
            </w:r>
          </w:p>
        </w:tc>
        <w:tc>
          <w:tcPr>
            <w:tcW w:w="1134" w:type="dxa"/>
            <w:shd w:val="clear" w:color="auto" w:fill="E5DFEC" w:themeFill="accent4" w:themeFillTint="33"/>
            <w:noWrap/>
            <w:hideMark/>
          </w:tcPr>
          <w:p w14:paraId="6361EC2A"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e</w:t>
            </w:r>
          </w:p>
        </w:tc>
        <w:tc>
          <w:tcPr>
            <w:tcW w:w="992" w:type="dxa"/>
            <w:shd w:val="clear" w:color="auto" w:fill="E5DFEC" w:themeFill="accent4" w:themeFillTint="33"/>
            <w:noWrap/>
            <w:hideMark/>
          </w:tcPr>
          <w:p w14:paraId="3EADEAEA"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b</w:t>
            </w:r>
          </w:p>
        </w:tc>
      </w:tr>
      <w:tr w:rsidR="00406A3D" w:rsidRPr="00E525AF" w14:paraId="4F8D04BD" w14:textId="77777777" w:rsidTr="00406A3D">
        <w:trPr>
          <w:trHeight w:val="300"/>
        </w:trPr>
        <w:tc>
          <w:tcPr>
            <w:tcW w:w="2694" w:type="dxa"/>
            <w:shd w:val="clear" w:color="auto" w:fill="E5DFEC" w:themeFill="accent4" w:themeFillTint="33"/>
            <w:hideMark/>
          </w:tcPr>
          <w:p w14:paraId="4838EE2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VSŠ</w:t>
            </w:r>
          </w:p>
        </w:tc>
        <w:tc>
          <w:tcPr>
            <w:tcW w:w="2976" w:type="dxa"/>
            <w:shd w:val="clear" w:color="auto" w:fill="E5DFEC" w:themeFill="accent4" w:themeFillTint="33"/>
            <w:hideMark/>
          </w:tcPr>
          <w:p w14:paraId="4B1633A7" w14:textId="77777777" w:rsidR="00406A3D" w:rsidRPr="00E525AF" w:rsidRDefault="00406A3D" w:rsidP="00406A3D">
            <w:pPr>
              <w:rPr>
                <w:rFonts w:ascii="Verdana" w:eastAsia="Times New Roman" w:hAnsi="Verdana" w:cs="Times New Roman"/>
                <w:color w:val="000000"/>
                <w:sz w:val="20"/>
                <w:szCs w:val="20"/>
                <w:lang w:eastAsia="sl-SI"/>
              </w:rPr>
            </w:pPr>
            <w:proofErr w:type="spellStart"/>
            <w:r w:rsidRPr="00E525AF">
              <w:rPr>
                <w:rFonts w:ascii="Verdana" w:eastAsia="Times New Roman" w:hAnsi="Verdana" w:cs="Times New Roman"/>
                <w:color w:val="000000"/>
                <w:sz w:val="20"/>
                <w:szCs w:val="20"/>
                <w:lang w:eastAsia="sl-SI"/>
              </w:rPr>
              <w:t>eNAKVIS</w:t>
            </w:r>
            <w:proofErr w:type="spellEnd"/>
            <w:r w:rsidRPr="00E525AF">
              <w:rPr>
                <w:rFonts w:ascii="Verdana" w:eastAsia="Times New Roman" w:hAnsi="Verdana" w:cs="Times New Roman"/>
                <w:color w:val="000000"/>
                <w:sz w:val="20"/>
                <w:szCs w:val="20"/>
                <w:lang w:eastAsia="sl-SI"/>
              </w:rPr>
              <w:t xml:space="preserve"> - obrazci</w:t>
            </w:r>
          </w:p>
        </w:tc>
        <w:tc>
          <w:tcPr>
            <w:tcW w:w="1276" w:type="dxa"/>
            <w:shd w:val="clear" w:color="auto" w:fill="E5DFEC" w:themeFill="accent4" w:themeFillTint="33"/>
            <w:hideMark/>
          </w:tcPr>
          <w:p w14:paraId="2DC85873"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shd w:val="clear" w:color="auto" w:fill="E5DFEC" w:themeFill="accent4" w:themeFillTint="33"/>
            <w:noWrap/>
            <w:hideMark/>
          </w:tcPr>
          <w:p w14:paraId="79F5F1E4"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w:t>
            </w:r>
          </w:p>
        </w:tc>
        <w:tc>
          <w:tcPr>
            <w:tcW w:w="1134" w:type="dxa"/>
            <w:shd w:val="clear" w:color="auto" w:fill="E5DFEC" w:themeFill="accent4" w:themeFillTint="33"/>
            <w:noWrap/>
            <w:hideMark/>
          </w:tcPr>
          <w:p w14:paraId="6B4DA7EB"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c>
          <w:tcPr>
            <w:tcW w:w="992" w:type="dxa"/>
            <w:shd w:val="clear" w:color="auto" w:fill="E5DFEC" w:themeFill="accent4" w:themeFillTint="33"/>
            <w:noWrap/>
            <w:hideMark/>
          </w:tcPr>
          <w:p w14:paraId="1D2FD863"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r>
      <w:tr w:rsidR="00F40383" w:rsidRPr="00E525AF" w14:paraId="22C89A89" w14:textId="77777777" w:rsidTr="00580769">
        <w:trPr>
          <w:trHeight w:val="70"/>
        </w:trPr>
        <w:tc>
          <w:tcPr>
            <w:tcW w:w="9923" w:type="dxa"/>
            <w:gridSpan w:val="6"/>
            <w:shd w:val="clear" w:color="auto" w:fill="E5B8B7" w:themeFill="accent2" w:themeFillTint="66"/>
            <w:hideMark/>
          </w:tcPr>
          <w:p w14:paraId="6DB2BD28" w14:textId="77777777" w:rsidR="00F40383" w:rsidRDefault="00F40383" w:rsidP="00406A3D">
            <w:pPr>
              <w:rPr>
                <w:rFonts w:ascii="Verdana" w:eastAsia="Times New Roman" w:hAnsi="Verdana" w:cs="Times New Roman"/>
                <w:b/>
                <w:bCs/>
                <w:color w:val="000000"/>
                <w:sz w:val="20"/>
                <w:szCs w:val="20"/>
                <w:lang w:eastAsia="sl-SI"/>
              </w:rPr>
            </w:pPr>
          </w:p>
          <w:p w14:paraId="33520C68" w14:textId="77777777" w:rsidR="00F40383" w:rsidRPr="00E525AF" w:rsidRDefault="00F40383" w:rsidP="00406A3D">
            <w:pPr>
              <w:rPr>
                <w:rFonts w:ascii="Verdana" w:eastAsia="Times New Roman" w:hAnsi="Verdana" w:cs="Times New Roman"/>
                <w:b/>
                <w:bCs/>
                <w:color w:val="000000"/>
                <w:sz w:val="20"/>
                <w:szCs w:val="20"/>
                <w:lang w:eastAsia="sl-SI"/>
              </w:rPr>
            </w:pPr>
            <w:r w:rsidRPr="00E525AF">
              <w:rPr>
                <w:rFonts w:ascii="Verdana" w:eastAsia="Times New Roman" w:hAnsi="Verdana" w:cs="Times New Roman"/>
                <w:b/>
                <w:bCs/>
                <w:color w:val="000000"/>
                <w:sz w:val="20"/>
                <w:szCs w:val="20"/>
                <w:lang w:eastAsia="sl-SI"/>
              </w:rPr>
              <w:t>Komuniciranje</w:t>
            </w:r>
          </w:p>
          <w:p w14:paraId="7856535A" w14:textId="085F9033" w:rsidR="00F40383" w:rsidRPr="00E525AF" w:rsidRDefault="00F40383" w:rsidP="00406A3D">
            <w:pPr>
              <w:rPr>
                <w:rFonts w:ascii="Verdana" w:eastAsia="Times New Roman" w:hAnsi="Verdana" w:cs="Times New Roman"/>
                <w:color w:val="000000"/>
                <w:sz w:val="20"/>
                <w:szCs w:val="20"/>
                <w:lang w:eastAsia="sl-SI"/>
              </w:rPr>
            </w:pPr>
          </w:p>
        </w:tc>
      </w:tr>
      <w:tr w:rsidR="00406A3D" w:rsidRPr="00E525AF" w14:paraId="415240E3" w14:textId="77777777" w:rsidTr="00406A3D">
        <w:trPr>
          <w:trHeight w:val="900"/>
        </w:trPr>
        <w:tc>
          <w:tcPr>
            <w:tcW w:w="2694" w:type="dxa"/>
            <w:hideMark/>
          </w:tcPr>
          <w:p w14:paraId="04DD3065"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Izbira zunanjega izvajalca za pripravo komunikacijskega načrta agencije</w:t>
            </w:r>
          </w:p>
        </w:tc>
        <w:tc>
          <w:tcPr>
            <w:tcW w:w="2976" w:type="dxa"/>
            <w:hideMark/>
          </w:tcPr>
          <w:p w14:paraId="34965621"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Zbiranje ponudb za izbiro zunanjega izvajalca za pripravo komunikacijskega načrta agencije.</w:t>
            </w:r>
          </w:p>
        </w:tc>
        <w:tc>
          <w:tcPr>
            <w:tcW w:w="1276" w:type="dxa"/>
            <w:hideMark/>
          </w:tcPr>
          <w:p w14:paraId="0672F5C0"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noWrap/>
            <w:hideMark/>
          </w:tcPr>
          <w:p w14:paraId="034A7E5A"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c>
          <w:tcPr>
            <w:tcW w:w="1134" w:type="dxa"/>
            <w:hideMark/>
          </w:tcPr>
          <w:p w14:paraId="5BDDEDA1"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b</w:t>
            </w:r>
          </w:p>
        </w:tc>
        <w:tc>
          <w:tcPr>
            <w:tcW w:w="992" w:type="dxa"/>
            <w:hideMark/>
          </w:tcPr>
          <w:p w14:paraId="6BF21666"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r>
      <w:tr w:rsidR="00406A3D" w:rsidRPr="00E525AF" w14:paraId="6078F95B" w14:textId="77777777" w:rsidTr="00406A3D">
        <w:trPr>
          <w:trHeight w:val="1080"/>
        </w:trPr>
        <w:tc>
          <w:tcPr>
            <w:tcW w:w="2694" w:type="dxa"/>
            <w:hideMark/>
          </w:tcPr>
          <w:p w14:paraId="0B902BA5"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Priprava komunikacijskega načrta agencije ter izvedba prvih aktivnosti</w:t>
            </w:r>
          </w:p>
        </w:tc>
        <w:tc>
          <w:tcPr>
            <w:tcW w:w="2976" w:type="dxa"/>
            <w:hideMark/>
          </w:tcPr>
          <w:p w14:paraId="34E710FD"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Priprava komunikacijskega načrta v sodelovanju z izbranim zunanjim izvajalcem, načrtovanje komunikacijskih aktivnosti za izboljšanje komuniciranja in informiranja notranjih in zunanjih deležnikov, krepitev javne podobe agencije ter zagotavljanje odprte in dvosmerne komunikacije z vsemi deležniki.</w:t>
            </w:r>
          </w:p>
        </w:tc>
        <w:tc>
          <w:tcPr>
            <w:tcW w:w="1276" w:type="dxa"/>
            <w:hideMark/>
          </w:tcPr>
          <w:p w14:paraId="1F838EA8"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noWrap/>
            <w:hideMark/>
          </w:tcPr>
          <w:p w14:paraId="15048738"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c>
          <w:tcPr>
            <w:tcW w:w="1134" w:type="dxa"/>
            <w:hideMark/>
          </w:tcPr>
          <w:p w14:paraId="69C42E0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b</w:t>
            </w:r>
          </w:p>
        </w:tc>
        <w:tc>
          <w:tcPr>
            <w:tcW w:w="992" w:type="dxa"/>
            <w:hideMark/>
          </w:tcPr>
          <w:p w14:paraId="2627D090"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r>
      <w:tr w:rsidR="00406A3D" w:rsidRPr="00E525AF" w14:paraId="28DFD487" w14:textId="77777777" w:rsidTr="00406A3D">
        <w:trPr>
          <w:trHeight w:val="300"/>
        </w:trPr>
        <w:tc>
          <w:tcPr>
            <w:tcW w:w="2694" w:type="dxa"/>
            <w:shd w:val="clear" w:color="auto" w:fill="E5DFEC" w:themeFill="accent4" w:themeFillTint="33"/>
            <w:hideMark/>
          </w:tcPr>
          <w:p w14:paraId="1C02F81F" w14:textId="77777777" w:rsidR="00406A3D" w:rsidRPr="00E525AF" w:rsidRDefault="00406A3D" w:rsidP="00406A3D">
            <w:pPr>
              <w:rPr>
                <w:rFonts w:ascii="Verdana" w:eastAsia="Times New Roman" w:hAnsi="Verdana" w:cs="Times New Roman"/>
                <w:color w:val="000000"/>
                <w:sz w:val="20"/>
                <w:szCs w:val="20"/>
                <w:lang w:eastAsia="sl-SI"/>
              </w:rPr>
            </w:pPr>
            <w:r>
              <w:rPr>
                <w:rFonts w:ascii="Verdana" w:eastAsia="Times New Roman" w:hAnsi="Verdana" w:cs="Times New Roman"/>
                <w:color w:val="000000"/>
                <w:sz w:val="20"/>
                <w:szCs w:val="20"/>
                <w:lang w:eastAsia="sl-SI"/>
              </w:rPr>
              <w:t>S</w:t>
            </w:r>
            <w:r w:rsidRPr="00E525AF">
              <w:rPr>
                <w:rFonts w:ascii="Verdana" w:eastAsia="Times New Roman" w:hAnsi="Verdana" w:cs="Times New Roman"/>
                <w:color w:val="000000"/>
                <w:sz w:val="20"/>
                <w:szCs w:val="20"/>
                <w:lang w:eastAsia="sl-SI"/>
              </w:rPr>
              <w:t>pletna stran</w:t>
            </w:r>
            <w:r>
              <w:rPr>
                <w:rFonts w:ascii="Verdana" w:eastAsia="Times New Roman" w:hAnsi="Verdana" w:cs="Times New Roman"/>
                <w:color w:val="000000"/>
                <w:sz w:val="20"/>
                <w:szCs w:val="20"/>
                <w:lang w:eastAsia="sl-SI"/>
              </w:rPr>
              <w:t xml:space="preserve"> agencije</w:t>
            </w:r>
          </w:p>
        </w:tc>
        <w:tc>
          <w:tcPr>
            <w:tcW w:w="2976" w:type="dxa"/>
            <w:shd w:val="clear" w:color="auto" w:fill="E5DFEC" w:themeFill="accent4" w:themeFillTint="33"/>
            <w:hideMark/>
          </w:tcPr>
          <w:p w14:paraId="38F56B7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Ažuriranje, poen</w:t>
            </w:r>
            <w:r>
              <w:rPr>
                <w:rFonts w:ascii="Verdana" w:eastAsia="Times New Roman" w:hAnsi="Verdana" w:cs="Times New Roman"/>
                <w:color w:val="000000"/>
                <w:sz w:val="20"/>
                <w:szCs w:val="20"/>
                <w:lang w:eastAsia="sl-SI"/>
              </w:rPr>
              <w:t>o</w:t>
            </w:r>
            <w:r w:rsidRPr="00E525AF">
              <w:rPr>
                <w:rFonts w:ascii="Verdana" w:eastAsia="Times New Roman" w:hAnsi="Verdana" w:cs="Times New Roman"/>
                <w:color w:val="000000"/>
                <w:sz w:val="20"/>
                <w:szCs w:val="20"/>
                <w:lang w:eastAsia="sl-SI"/>
              </w:rPr>
              <w:t>stavitev strukture</w:t>
            </w:r>
          </w:p>
        </w:tc>
        <w:tc>
          <w:tcPr>
            <w:tcW w:w="1276" w:type="dxa"/>
            <w:shd w:val="clear" w:color="auto" w:fill="E5DFEC" w:themeFill="accent4" w:themeFillTint="33"/>
            <w:hideMark/>
          </w:tcPr>
          <w:p w14:paraId="3A299D63"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shd w:val="clear" w:color="auto" w:fill="E5DFEC" w:themeFill="accent4" w:themeFillTint="33"/>
            <w:noWrap/>
            <w:hideMark/>
          </w:tcPr>
          <w:p w14:paraId="6987A5EB"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c>
          <w:tcPr>
            <w:tcW w:w="1134" w:type="dxa"/>
            <w:shd w:val="clear" w:color="auto" w:fill="E5DFEC" w:themeFill="accent4" w:themeFillTint="33"/>
            <w:hideMark/>
          </w:tcPr>
          <w:p w14:paraId="13F5291A"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b</w:t>
            </w:r>
          </w:p>
        </w:tc>
        <w:tc>
          <w:tcPr>
            <w:tcW w:w="992" w:type="dxa"/>
            <w:shd w:val="clear" w:color="auto" w:fill="E5DFEC" w:themeFill="accent4" w:themeFillTint="33"/>
            <w:hideMark/>
          </w:tcPr>
          <w:p w14:paraId="3F36802B"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r>
      <w:tr w:rsidR="00406A3D" w:rsidRPr="00E525AF" w14:paraId="5F7E03C8" w14:textId="77777777" w:rsidTr="00406A3D">
        <w:trPr>
          <w:trHeight w:val="300"/>
        </w:trPr>
        <w:tc>
          <w:tcPr>
            <w:tcW w:w="2694" w:type="dxa"/>
            <w:shd w:val="clear" w:color="auto" w:fill="E5DFEC" w:themeFill="accent4" w:themeFillTint="33"/>
            <w:hideMark/>
          </w:tcPr>
          <w:p w14:paraId="2DE90FE4"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Spletna stran - angleški prevod</w:t>
            </w:r>
          </w:p>
        </w:tc>
        <w:tc>
          <w:tcPr>
            <w:tcW w:w="2976" w:type="dxa"/>
            <w:shd w:val="clear" w:color="auto" w:fill="E5DFEC" w:themeFill="accent4" w:themeFillTint="33"/>
            <w:hideMark/>
          </w:tcPr>
          <w:p w14:paraId="6113774A"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Ažuriranje, poen</w:t>
            </w:r>
            <w:r>
              <w:rPr>
                <w:rFonts w:ascii="Verdana" w:eastAsia="Times New Roman" w:hAnsi="Verdana" w:cs="Times New Roman"/>
                <w:color w:val="000000"/>
                <w:sz w:val="20"/>
                <w:szCs w:val="20"/>
                <w:lang w:eastAsia="sl-SI"/>
              </w:rPr>
              <w:t>o</w:t>
            </w:r>
            <w:r w:rsidRPr="00E525AF">
              <w:rPr>
                <w:rFonts w:ascii="Verdana" w:eastAsia="Times New Roman" w:hAnsi="Verdana" w:cs="Times New Roman"/>
                <w:color w:val="000000"/>
                <w:sz w:val="20"/>
                <w:szCs w:val="20"/>
                <w:lang w:eastAsia="sl-SI"/>
              </w:rPr>
              <w:t>stavitev strukture</w:t>
            </w:r>
          </w:p>
        </w:tc>
        <w:tc>
          <w:tcPr>
            <w:tcW w:w="1276" w:type="dxa"/>
            <w:shd w:val="clear" w:color="auto" w:fill="E5DFEC" w:themeFill="accent4" w:themeFillTint="33"/>
            <w:hideMark/>
          </w:tcPr>
          <w:p w14:paraId="42D44D71"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shd w:val="clear" w:color="auto" w:fill="E5DFEC" w:themeFill="accent4" w:themeFillTint="33"/>
            <w:noWrap/>
            <w:hideMark/>
          </w:tcPr>
          <w:p w14:paraId="65ABAFA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c>
          <w:tcPr>
            <w:tcW w:w="1134" w:type="dxa"/>
            <w:shd w:val="clear" w:color="auto" w:fill="E5DFEC" w:themeFill="accent4" w:themeFillTint="33"/>
            <w:hideMark/>
          </w:tcPr>
          <w:p w14:paraId="067F98E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b</w:t>
            </w:r>
          </w:p>
        </w:tc>
        <w:tc>
          <w:tcPr>
            <w:tcW w:w="992" w:type="dxa"/>
            <w:shd w:val="clear" w:color="auto" w:fill="E5DFEC" w:themeFill="accent4" w:themeFillTint="33"/>
            <w:hideMark/>
          </w:tcPr>
          <w:p w14:paraId="681A9975"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r>
    </w:tbl>
    <w:p w14:paraId="0063E72D" w14:textId="77777777" w:rsidR="00406A3D" w:rsidRDefault="00406A3D" w:rsidP="00406A3D"/>
    <w:p w14:paraId="13A862D2" w14:textId="77777777" w:rsidR="00406A3D" w:rsidRDefault="00406A3D" w:rsidP="00406A3D">
      <w:pPr>
        <w:rPr>
          <w:rFonts w:ascii="Verdana" w:hAnsi="Verdana"/>
          <w:b/>
        </w:rPr>
      </w:pPr>
      <w:r>
        <w:rPr>
          <w:rFonts w:ascii="Verdana" w:hAnsi="Verdana"/>
          <w:b/>
        </w:rPr>
        <w:t>Pojasnila k pregledu opravljenih nalog</w:t>
      </w:r>
    </w:p>
    <w:p w14:paraId="3DE3D1FB" w14:textId="77777777" w:rsidR="00406A3D" w:rsidRDefault="00406A3D" w:rsidP="00406A3D">
      <w:pPr>
        <w:jc w:val="both"/>
        <w:rPr>
          <w:rFonts w:ascii="Verdana" w:hAnsi="Verdana"/>
        </w:rPr>
      </w:pPr>
      <w:r w:rsidRPr="00B63975">
        <w:rPr>
          <w:rFonts w:ascii="Verdana" w:hAnsi="Verdana"/>
        </w:rPr>
        <w:t xml:space="preserve">V tem na novo organiziranem sektorju je bilo opredeljenih največ nalog, ki jih agencija v taki obliki v preteklosti ni (sistematično) opravljala. </w:t>
      </w:r>
      <w:r>
        <w:rPr>
          <w:rFonts w:ascii="Verdana" w:hAnsi="Verdana"/>
        </w:rPr>
        <w:t xml:space="preserve">Postavljene so bile kar na vseh področjih dela sektorja, na primer: (vsako)letna publikacija agencije, zaposljivost diplomantov po zavodih, načrt internacionalizacije, komunikacijski načrt. Poleg tega je moral sektor po temeljiti proučitvi preteklega dela z eNakvis na novo opredeliti posamezne naloge ter si postaviti dodatne, ki sprva niso bile predvidene (na primer ureditev oziroma </w:t>
      </w:r>
      <w:r w:rsidRPr="0056521F">
        <w:rPr>
          <w:rFonts w:ascii="Verdana" w:hAnsi="Verdana"/>
        </w:rPr>
        <w:t>vnos po</w:t>
      </w:r>
      <w:r w:rsidRPr="00B35E31">
        <w:rPr>
          <w:rFonts w:ascii="Verdana" w:hAnsi="Verdana"/>
        </w:rPr>
        <w:t>datkov</w:t>
      </w:r>
      <w:r>
        <w:rPr>
          <w:rFonts w:ascii="Verdana" w:hAnsi="Verdana"/>
        </w:rPr>
        <w:t xml:space="preserve"> za eVŠ). Za sektor je še značilno, da si je kljub zelo ambicioznemu LDN 2018 do konca leta postavil dodatne naloge, na katere so delno vplivala tudi priporočila mednarodne skupine ENQA. Dodane so bile: popolna prenova </w:t>
      </w:r>
      <w:r>
        <w:rPr>
          <w:rFonts w:ascii="Verdana" w:hAnsi="Verdana"/>
        </w:rPr>
        <w:lastRenderedPageBreak/>
        <w:t>spletne strani agencije in prevod v angleški jezik, ureditev obrazcev v eNakvis za spremembe študijskih programov oziroma povezava eNakvis z informacijskim sistemom univerze (v preglednici so osenčene). Zato se je na sektorju sprva predvideni vrstni red opravljanja nalog nekoliko spremenil, prednost so poleg nadaljnjega razvijanja eNakvis v intenzivnem sodelovanju z deležniki (univerzami, visokošolskimi zavodi, šolami in MIZŠ) dobile naloge za čim prejšnjo uresničitev priporočil in tudi zahtev skupine strokovnjakov ENQA. V poročilu o delu so zato najprej prikazane slednje.</w:t>
      </w:r>
    </w:p>
    <w:p w14:paraId="67FB5B29" w14:textId="77777777" w:rsidR="00406A3D" w:rsidRPr="00845326" w:rsidRDefault="00406A3D" w:rsidP="00406A3D">
      <w:pPr>
        <w:spacing w:line="240" w:lineRule="auto"/>
        <w:jc w:val="both"/>
        <w:rPr>
          <w:rFonts w:ascii="Verdana" w:eastAsia="Cambria" w:hAnsi="Verdana" w:cs="Times New Roman"/>
        </w:rPr>
      </w:pPr>
      <w:r w:rsidRPr="00845326">
        <w:rPr>
          <w:rFonts w:ascii="Verdana" w:eastAsia="Cambria" w:hAnsi="Verdana" w:cs="Times New Roman"/>
        </w:rPr>
        <w:t>Na podlagi izsledkov zunanje evalvacije ENQA in samoevalvacijskih ugotovitev</w:t>
      </w:r>
      <w:r>
        <w:rPr>
          <w:rFonts w:ascii="Verdana" w:eastAsia="Cambria" w:hAnsi="Verdana" w:cs="Times New Roman"/>
        </w:rPr>
        <w:t xml:space="preserve"> agencije</w:t>
      </w:r>
      <w:r w:rsidRPr="00845326">
        <w:rPr>
          <w:rFonts w:ascii="Verdana" w:eastAsia="Cambria" w:hAnsi="Verdana" w:cs="Times New Roman"/>
        </w:rPr>
        <w:t xml:space="preserve"> je sektor dal prednost izboljševanju </w:t>
      </w:r>
      <w:r w:rsidRPr="00845326">
        <w:rPr>
          <w:rFonts w:ascii="Verdana" w:eastAsia="Cambria" w:hAnsi="Verdana" w:cs="Times New Roman"/>
          <w:b/>
        </w:rPr>
        <w:t>komuniciranja agencije</w:t>
      </w:r>
      <w:r w:rsidRPr="00845326">
        <w:rPr>
          <w:rFonts w:ascii="Verdana" w:eastAsia="Cambria" w:hAnsi="Verdana" w:cs="Times New Roman"/>
        </w:rPr>
        <w:t xml:space="preserve">, tako z notranjimi kot z zunanjimi deležniki. V letu 2018 </w:t>
      </w:r>
      <w:r>
        <w:rPr>
          <w:rFonts w:ascii="Verdana" w:eastAsia="Cambria" w:hAnsi="Verdana" w:cs="Times New Roman"/>
        </w:rPr>
        <w:t>sta bila</w:t>
      </w:r>
      <w:r w:rsidRPr="00845326">
        <w:rPr>
          <w:rFonts w:ascii="Verdana" w:eastAsia="Cambria" w:hAnsi="Verdana" w:cs="Times New Roman"/>
        </w:rPr>
        <w:t xml:space="preserve"> </w:t>
      </w:r>
      <w:r>
        <w:rPr>
          <w:rFonts w:ascii="Verdana" w:eastAsia="Cambria" w:hAnsi="Verdana" w:cs="Times New Roman"/>
        </w:rPr>
        <w:t>v sodelovanju z</w:t>
      </w:r>
      <w:r w:rsidRPr="00845326">
        <w:rPr>
          <w:rFonts w:ascii="Verdana" w:eastAsia="Cambria" w:hAnsi="Verdana" w:cs="Times New Roman"/>
        </w:rPr>
        <w:t xml:space="preserve"> zunanji</w:t>
      </w:r>
      <w:r>
        <w:rPr>
          <w:rFonts w:ascii="Verdana" w:eastAsia="Cambria" w:hAnsi="Verdana" w:cs="Times New Roman"/>
        </w:rPr>
        <w:t>mi</w:t>
      </w:r>
      <w:r w:rsidRPr="00845326">
        <w:rPr>
          <w:rFonts w:ascii="Verdana" w:eastAsia="Cambria" w:hAnsi="Verdana" w:cs="Times New Roman"/>
        </w:rPr>
        <w:t xml:space="preserve"> strokovnjak</w:t>
      </w:r>
      <w:r>
        <w:rPr>
          <w:rFonts w:ascii="Verdana" w:eastAsia="Cambria" w:hAnsi="Verdana" w:cs="Times New Roman"/>
        </w:rPr>
        <w:t>i</w:t>
      </w:r>
      <w:r w:rsidRPr="00845326">
        <w:rPr>
          <w:rFonts w:ascii="Verdana" w:eastAsia="Cambria" w:hAnsi="Verdana" w:cs="Times New Roman"/>
        </w:rPr>
        <w:t xml:space="preserve">  pripravljena komunikacijski in izvedbeni načrt s </w:t>
      </w:r>
      <w:proofErr w:type="spellStart"/>
      <w:r w:rsidRPr="00845326">
        <w:rPr>
          <w:rFonts w:ascii="Verdana" w:eastAsia="Cambria" w:hAnsi="Verdana" w:cs="Times New Roman"/>
        </w:rPr>
        <w:t>časovnico</w:t>
      </w:r>
      <w:proofErr w:type="spellEnd"/>
      <w:r w:rsidRPr="00845326">
        <w:rPr>
          <w:rFonts w:ascii="Verdana" w:eastAsia="Cambria" w:hAnsi="Verdana" w:cs="Times New Roman"/>
        </w:rPr>
        <w:t xml:space="preserve"> ter opravljene prve naloge (prenovljena spletna stran agencije, vzpostavljena socialna omrežja, </w:t>
      </w:r>
      <w:proofErr w:type="spellStart"/>
      <w:r w:rsidRPr="00845326">
        <w:rPr>
          <w:rFonts w:ascii="Verdana" w:eastAsia="Cambria" w:hAnsi="Verdana" w:cs="Times New Roman"/>
        </w:rPr>
        <w:t>videovodniki</w:t>
      </w:r>
      <w:proofErr w:type="spellEnd"/>
      <w:r w:rsidRPr="00845326">
        <w:rPr>
          <w:rFonts w:ascii="Verdana" w:eastAsia="Cambria" w:hAnsi="Verdana" w:cs="Times New Roman"/>
        </w:rPr>
        <w:t xml:space="preserve"> za uporabnike </w:t>
      </w:r>
      <w:proofErr w:type="spellStart"/>
      <w:r w:rsidRPr="00845326">
        <w:rPr>
          <w:rFonts w:ascii="Verdana" w:eastAsia="Cambria" w:hAnsi="Verdana" w:cs="Times New Roman"/>
        </w:rPr>
        <w:t>eNakvisa</w:t>
      </w:r>
      <w:proofErr w:type="spellEnd"/>
      <w:r w:rsidRPr="00845326">
        <w:rPr>
          <w:rFonts w:ascii="Verdana" w:eastAsia="Cambria" w:hAnsi="Verdana" w:cs="Times New Roman"/>
        </w:rPr>
        <w:t xml:space="preserve">, nova predstavitvena brošura agencije). </w:t>
      </w:r>
    </w:p>
    <w:p w14:paraId="30E5232A" w14:textId="1E2AC458" w:rsidR="00406A3D" w:rsidRPr="003516F0" w:rsidRDefault="00406A3D" w:rsidP="00406A3D">
      <w:pPr>
        <w:spacing w:line="240" w:lineRule="auto"/>
        <w:jc w:val="both"/>
        <w:rPr>
          <w:rFonts w:ascii="Verdana" w:eastAsia="Cambria" w:hAnsi="Verdana" w:cs="Times New Roman"/>
        </w:rPr>
      </w:pPr>
      <w:r w:rsidRPr="003516F0">
        <w:rPr>
          <w:rFonts w:ascii="Verdana" w:eastAsia="Cambria" w:hAnsi="Verdana" w:cs="Times New Roman"/>
        </w:rPr>
        <w:t>Nova spletna stran agencije je bila objavljena 14. decembra 2018. Je v celoti prilagojena tudi slepim, slabovidnim in ljudem z okvarami vida in motnjami branja. Agencija je prva organizacija v javni upravi in v izobraževalnem sektorju, ki si je pridobila »certifikat A3C, dostopno vsem«. Pridobitev tega cer</w:t>
      </w:r>
      <w:r>
        <w:rPr>
          <w:rFonts w:ascii="Verdana" w:eastAsia="Cambria" w:hAnsi="Verdana" w:cs="Times New Roman"/>
        </w:rPr>
        <w:t>ti</w:t>
      </w:r>
      <w:r w:rsidRPr="003516F0">
        <w:rPr>
          <w:rFonts w:ascii="Verdana" w:eastAsia="Cambria" w:hAnsi="Verdana" w:cs="Times New Roman"/>
        </w:rPr>
        <w:t>fikata je veliko priznanje večletnemu prizadevanju, da z zgledom na mehak način spodbujamo deležnike v visokem šolstvu, da se zavedajo pomembnosti zagotavljanja dostopnosti</w:t>
      </w:r>
      <w:r>
        <w:rPr>
          <w:rFonts w:ascii="Verdana" w:eastAsia="Cambria" w:hAnsi="Verdana" w:cs="Times New Roman"/>
        </w:rPr>
        <w:t xml:space="preserve"> spletnih strani</w:t>
      </w:r>
      <w:r w:rsidRPr="003516F0">
        <w:rPr>
          <w:rFonts w:ascii="Verdana" w:eastAsia="Cambria" w:hAnsi="Verdana" w:cs="Times New Roman"/>
        </w:rPr>
        <w:t xml:space="preserve">, ne le za slepe in slabovidne, temveč tudi za vse videče. Zakon o dostopnosti spletišč (iz leta 2018) od organov javne uprave sicer zahteva določene prilagoditve spletnih mest, vendar se </w:t>
      </w:r>
      <w:r w:rsidR="00347BCA">
        <w:rPr>
          <w:rFonts w:ascii="Verdana" w:eastAsia="Cambria" w:hAnsi="Verdana" w:cs="Times New Roman"/>
        </w:rPr>
        <w:t>je</w:t>
      </w:r>
      <w:r w:rsidRPr="003516F0">
        <w:rPr>
          <w:rFonts w:ascii="Verdana" w:eastAsia="Cambria" w:hAnsi="Verdana" w:cs="Times New Roman"/>
        </w:rPr>
        <w:t xml:space="preserve"> agencij</w:t>
      </w:r>
      <w:r w:rsidR="00347BCA">
        <w:rPr>
          <w:rFonts w:ascii="Verdana" w:eastAsia="Cambria" w:hAnsi="Verdana" w:cs="Times New Roman"/>
        </w:rPr>
        <w:t>a</w:t>
      </w:r>
      <w:r w:rsidRPr="003516F0">
        <w:rPr>
          <w:rFonts w:ascii="Verdana" w:eastAsia="Cambria" w:hAnsi="Verdana" w:cs="Times New Roman"/>
        </w:rPr>
        <w:t xml:space="preserve"> odločil</w:t>
      </w:r>
      <w:r w:rsidR="00347BCA">
        <w:rPr>
          <w:rFonts w:ascii="Verdana" w:eastAsia="Cambria" w:hAnsi="Verdana" w:cs="Times New Roman"/>
        </w:rPr>
        <w:t>a</w:t>
      </w:r>
      <w:r w:rsidRPr="003516F0">
        <w:rPr>
          <w:rFonts w:ascii="Verdana" w:eastAsia="Cambria" w:hAnsi="Verdana" w:cs="Times New Roman"/>
        </w:rPr>
        <w:t xml:space="preserve"> za izpolnjevanje strožjih pogojev v skladu z Merili za pridobitev certifikata A3C. Le tako lahko različnim uporabnikom zagotavlja v celoti prilagojeno in dostopno spletno mesto. Največja prednost je seveda v  prilagodljivosti njegove zasnove in vsebine različnim zahtevam uporabnikov</w:t>
      </w:r>
      <w:r>
        <w:rPr>
          <w:rFonts w:ascii="Verdana" w:eastAsia="Cambria" w:hAnsi="Verdana" w:cs="Times New Roman"/>
        </w:rPr>
        <w:t xml:space="preserve"> tako, da</w:t>
      </w:r>
      <w:r w:rsidRPr="003516F0">
        <w:rPr>
          <w:rFonts w:ascii="Verdana" w:eastAsia="Cambria" w:hAnsi="Verdana" w:cs="Times New Roman"/>
        </w:rPr>
        <w:t xml:space="preserve"> tudi slepim in slabovidnim </w:t>
      </w:r>
      <w:r>
        <w:rPr>
          <w:rFonts w:ascii="Verdana" w:eastAsia="Cambria" w:hAnsi="Verdana" w:cs="Times New Roman"/>
        </w:rPr>
        <w:t>ni</w:t>
      </w:r>
      <w:r w:rsidRPr="003516F0">
        <w:rPr>
          <w:rFonts w:ascii="Verdana" w:eastAsia="Cambria" w:hAnsi="Verdana" w:cs="Times New Roman"/>
        </w:rPr>
        <w:t xml:space="preserve"> treba posegati po dodatnih pripomočkih, aplikacijah in metodah zaradi preprostega pregleda spletnega mesta ali njegove vsebine. </w:t>
      </w:r>
      <w:r w:rsidR="00347BCA">
        <w:rPr>
          <w:rFonts w:ascii="Verdana" w:eastAsia="Cambria" w:hAnsi="Verdana" w:cs="Times New Roman"/>
        </w:rPr>
        <w:t>Gre za</w:t>
      </w:r>
      <w:r w:rsidRPr="003516F0">
        <w:rPr>
          <w:rFonts w:ascii="Verdana" w:eastAsia="Cambria" w:hAnsi="Verdana" w:cs="Times New Roman"/>
        </w:rPr>
        <w:t xml:space="preserve"> zagot</w:t>
      </w:r>
      <w:r w:rsidR="00347BCA">
        <w:rPr>
          <w:rFonts w:ascii="Verdana" w:eastAsia="Cambria" w:hAnsi="Verdana" w:cs="Times New Roman"/>
        </w:rPr>
        <w:t>ovitev</w:t>
      </w:r>
      <w:r w:rsidRPr="003516F0">
        <w:rPr>
          <w:rFonts w:ascii="Verdana" w:eastAsia="Cambria" w:hAnsi="Verdana" w:cs="Times New Roman"/>
        </w:rPr>
        <w:t xml:space="preserve"> kar se da dostopn</w:t>
      </w:r>
      <w:r w:rsidR="00347BCA">
        <w:rPr>
          <w:rFonts w:ascii="Verdana" w:eastAsia="Cambria" w:hAnsi="Verdana" w:cs="Times New Roman"/>
        </w:rPr>
        <w:t>e</w:t>
      </w:r>
      <w:r w:rsidRPr="003516F0">
        <w:rPr>
          <w:rFonts w:ascii="Verdana" w:eastAsia="Cambria" w:hAnsi="Verdana" w:cs="Times New Roman"/>
        </w:rPr>
        <w:t xml:space="preserve"> in uporabnikom prijazn</w:t>
      </w:r>
      <w:r w:rsidR="00347BCA">
        <w:rPr>
          <w:rFonts w:ascii="Verdana" w:eastAsia="Cambria" w:hAnsi="Verdana" w:cs="Times New Roman"/>
        </w:rPr>
        <w:t>e</w:t>
      </w:r>
      <w:r w:rsidRPr="003516F0">
        <w:rPr>
          <w:rFonts w:ascii="Verdana" w:eastAsia="Cambria" w:hAnsi="Verdana" w:cs="Times New Roman"/>
        </w:rPr>
        <w:t xml:space="preserve"> izkušnj</w:t>
      </w:r>
      <w:r w:rsidR="0056521F">
        <w:rPr>
          <w:rFonts w:ascii="Verdana" w:eastAsia="Cambria" w:hAnsi="Verdana" w:cs="Times New Roman"/>
        </w:rPr>
        <w:t>e</w:t>
      </w:r>
      <w:r w:rsidRPr="003516F0">
        <w:rPr>
          <w:rFonts w:ascii="Verdana" w:eastAsia="Cambria" w:hAnsi="Verdana" w:cs="Times New Roman"/>
        </w:rPr>
        <w:t>, jasno strukturiranost vsebin, prav tako pa izboljša</w:t>
      </w:r>
      <w:r w:rsidR="0056521F">
        <w:rPr>
          <w:rFonts w:ascii="Verdana" w:eastAsia="Cambria" w:hAnsi="Verdana" w:cs="Times New Roman"/>
        </w:rPr>
        <w:t>nje</w:t>
      </w:r>
      <w:r w:rsidRPr="003516F0">
        <w:rPr>
          <w:rFonts w:ascii="Verdana" w:eastAsia="Cambria" w:hAnsi="Verdana" w:cs="Times New Roman"/>
        </w:rPr>
        <w:t xml:space="preserve"> splošn</w:t>
      </w:r>
      <w:r w:rsidR="0056521F">
        <w:rPr>
          <w:rFonts w:ascii="Verdana" w:eastAsia="Cambria" w:hAnsi="Verdana" w:cs="Times New Roman"/>
        </w:rPr>
        <w:t>ega</w:t>
      </w:r>
      <w:r w:rsidRPr="003516F0">
        <w:rPr>
          <w:rFonts w:ascii="Verdana" w:eastAsia="Cambria" w:hAnsi="Verdana" w:cs="Times New Roman"/>
        </w:rPr>
        <w:t xml:space="preserve"> komuniciranj</w:t>
      </w:r>
      <w:r w:rsidR="0056521F">
        <w:rPr>
          <w:rFonts w:ascii="Verdana" w:eastAsia="Cambria" w:hAnsi="Verdana" w:cs="Times New Roman"/>
        </w:rPr>
        <w:t>a</w:t>
      </w:r>
      <w:r w:rsidRPr="003516F0">
        <w:rPr>
          <w:rFonts w:ascii="Verdana" w:eastAsia="Cambria" w:hAnsi="Verdana" w:cs="Times New Roman"/>
        </w:rPr>
        <w:t>  z vsemi deležniki, ne glede na njihove oviranosti oziroma invalidnosti. Takšna prilagodljivost spletnega mesta hkrati pripomore k izboljšanju uporabniške izkušnje za videče uporabnike, saj je pregledn</w:t>
      </w:r>
      <w:r w:rsidR="0056521F">
        <w:rPr>
          <w:rFonts w:ascii="Verdana" w:eastAsia="Cambria" w:hAnsi="Verdana" w:cs="Times New Roman"/>
        </w:rPr>
        <w:t>ejša</w:t>
      </w:r>
      <w:r w:rsidRPr="003516F0">
        <w:rPr>
          <w:rFonts w:ascii="Verdana" w:eastAsia="Cambria" w:hAnsi="Verdana" w:cs="Times New Roman"/>
        </w:rPr>
        <w:t xml:space="preserve"> in </w:t>
      </w:r>
      <w:r w:rsidR="0056521F">
        <w:rPr>
          <w:rFonts w:ascii="Verdana" w:eastAsia="Cambria" w:hAnsi="Verdana" w:cs="Times New Roman"/>
        </w:rPr>
        <w:t xml:space="preserve">bolje </w:t>
      </w:r>
      <w:r w:rsidRPr="003516F0">
        <w:rPr>
          <w:rFonts w:ascii="Verdana" w:eastAsia="Cambria" w:hAnsi="Verdana" w:cs="Times New Roman"/>
        </w:rPr>
        <w:t>strukturirana, enostavnejša in uporabnejša.</w:t>
      </w:r>
    </w:p>
    <w:p w14:paraId="6182D1FB" w14:textId="77777777" w:rsidR="00406A3D" w:rsidRPr="003C79FA" w:rsidRDefault="00406A3D" w:rsidP="00406A3D">
      <w:pPr>
        <w:spacing w:line="240" w:lineRule="auto"/>
        <w:jc w:val="both"/>
        <w:rPr>
          <w:rFonts w:ascii="Verdana" w:eastAsia="Cambria" w:hAnsi="Verdana" w:cs="Times New Roman"/>
        </w:rPr>
      </w:pPr>
      <w:r w:rsidRPr="003C79FA">
        <w:rPr>
          <w:rFonts w:ascii="Verdana" w:eastAsia="Cambria" w:hAnsi="Verdana" w:cs="Times New Roman"/>
        </w:rPr>
        <w:t xml:space="preserve">S komuniciranjem sta tesno povezana tudi </w:t>
      </w:r>
      <w:r w:rsidRPr="003C79FA">
        <w:rPr>
          <w:rFonts w:ascii="Verdana" w:eastAsia="Cambria" w:hAnsi="Verdana" w:cs="Times New Roman"/>
          <w:b/>
        </w:rPr>
        <w:t>eNakvis in povezovanje s podatkovnimi bazami</w:t>
      </w:r>
      <w:r w:rsidRPr="003C79FA">
        <w:rPr>
          <w:rFonts w:ascii="Verdana" w:eastAsia="Cambria" w:hAnsi="Verdana" w:cs="Times New Roman"/>
        </w:rPr>
        <w:t>, zato se je v drugi polovici leta 2018 najprej intenziviralo usposabljanje deležnikov, predvsem vlagateljev, visokošolskih zavodov oziroma univerz o uporabi informacijskega sistema.</w:t>
      </w:r>
      <w:r>
        <w:rPr>
          <w:rFonts w:ascii="Verdana" w:eastAsia="Cambria" w:hAnsi="Verdana" w:cs="Times New Roman"/>
        </w:rPr>
        <w:t xml:space="preserve"> Hkrati je nastajal novi elektronski obrazec za zunanjo evalvacijo višjih strokovnih šol (merila so bila sprejeta na začetku leta 2018), oddajanje vlog je bilo šolam omogočeno jeseni 2018. Potrebam uporabnikov se je začelo prilagajati tudi druge spletne obrazce, predvsem za sporočanje sprememb študijskih programov ob omogočanju povezave z informacijskimi sistemi ali bazami </w:t>
      </w:r>
      <w:r>
        <w:rPr>
          <w:rFonts w:ascii="Verdana" w:eastAsia="Cambria" w:hAnsi="Verdana" w:cs="Times New Roman"/>
        </w:rPr>
        <w:lastRenderedPageBreak/>
        <w:t>podatkov univerz. Naloga je kompleksna in zahteva veliko časa, usklajevanj, prilagoditev, pa tudi sprememb, zato se bo intenzivno nadaljevala v letu 2019.</w:t>
      </w:r>
    </w:p>
    <w:p w14:paraId="72BE6E36" w14:textId="49BE7F3E" w:rsidR="00406A3D" w:rsidRDefault="00406A3D" w:rsidP="00406A3D">
      <w:pPr>
        <w:spacing w:line="240" w:lineRule="auto"/>
        <w:jc w:val="both"/>
        <w:rPr>
          <w:rFonts w:ascii="Verdana" w:eastAsia="BatangChe" w:hAnsi="Verdana"/>
        </w:rPr>
      </w:pPr>
      <w:r w:rsidRPr="00A40A8B">
        <w:rPr>
          <w:rFonts w:ascii="Verdana" w:eastAsia="Cambria" w:hAnsi="Verdana" w:cs="Times New Roman"/>
        </w:rPr>
        <w:t xml:space="preserve">Velik napredek je bil v letu 2018 narejen na področju </w:t>
      </w:r>
      <w:r w:rsidRPr="00A40A8B">
        <w:rPr>
          <w:rFonts w:ascii="Verdana" w:eastAsia="Cambria" w:hAnsi="Verdana" w:cs="Times New Roman"/>
          <w:b/>
        </w:rPr>
        <w:t>analiz, dokumentov in publikacij</w:t>
      </w:r>
      <w:r w:rsidRPr="00A40A8B">
        <w:rPr>
          <w:rFonts w:ascii="Verdana" w:eastAsia="Cambria" w:hAnsi="Verdana" w:cs="Times New Roman"/>
        </w:rPr>
        <w:t>,</w:t>
      </w:r>
      <w:r w:rsidRPr="00A40A8B">
        <w:rPr>
          <w:rFonts w:ascii="Verdana" w:eastAsia="Cambria" w:hAnsi="Verdana" w:cs="Times New Roman"/>
          <w:b/>
        </w:rPr>
        <w:t xml:space="preserve"> </w:t>
      </w:r>
      <w:r w:rsidRPr="00A40A8B">
        <w:rPr>
          <w:rFonts w:ascii="Verdana" w:eastAsia="Cambria" w:hAnsi="Verdana" w:cs="Times New Roman"/>
        </w:rPr>
        <w:t>s čimer se je izboljšalo in na  neki način tudi ustalilo razvojno delo agencije, v preteklosti zaradi preobilice vlog ali akreditacijskih in evalvacijskih postopkov</w:t>
      </w:r>
      <w:r w:rsidR="00B35E31">
        <w:rPr>
          <w:rFonts w:ascii="Verdana" w:eastAsia="Cambria" w:hAnsi="Verdana" w:cs="Times New Roman"/>
        </w:rPr>
        <w:t xml:space="preserve"> in neustrezne organizacije dela</w:t>
      </w:r>
      <w:r w:rsidRPr="00A40A8B">
        <w:rPr>
          <w:rFonts w:ascii="Verdana" w:eastAsia="Cambria" w:hAnsi="Verdana" w:cs="Times New Roman"/>
        </w:rPr>
        <w:t xml:space="preserve"> nekoliko zapostavljena pomembna dejavnost</w:t>
      </w:r>
      <w:r w:rsidR="00B35E31">
        <w:rPr>
          <w:rFonts w:ascii="Verdana" w:eastAsia="Cambria" w:hAnsi="Verdana" w:cs="Times New Roman"/>
        </w:rPr>
        <w:t xml:space="preserve"> agencije</w:t>
      </w:r>
      <w:r w:rsidRPr="00A40A8B">
        <w:rPr>
          <w:rFonts w:ascii="Verdana" w:eastAsia="Cambria" w:hAnsi="Verdana" w:cs="Times New Roman"/>
        </w:rPr>
        <w:t>.</w:t>
      </w:r>
      <w:r>
        <w:rPr>
          <w:rFonts w:ascii="Verdana" w:eastAsia="Cambria" w:hAnsi="Verdana" w:cs="Times New Roman"/>
        </w:rPr>
        <w:t xml:space="preserve"> Izdelana je bila obširna </w:t>
      </w:r>
      <w:r w:rsidRPr="00BE3EE0">
        <w:rPr>
          <w:rFonts w:ascii="Verdana" w:eastAsia="Cambria" w:hAnsi="Verdana" w:cs="Calibri"/>
          <w:i/>
        </w:rPr>
        <w:t>Sistemska analiza kakovosti v visokem in višjem strokovnem šolstvu 2014–2017</w:t>
      </w:r>
      <w:r w:rsidRPr="00BE3EE0">
        <w:rPr>
          <w:rFonts w:ascii="Verdana" w:eastAsia="Cambria" w:hAnsi="Verdana" w:cs="Calibri"/>
        </w:rPr>
        <w:t xml:space="preserve">, v kateri so prikazani splošno stanje kakovosti v terciarnem izobraževanju na podlagi ugotovitev skupin strokovnjakov </w:t>
      </w:r>
      <w:r>
        <w:rPr>
          <w:rFonts w:ascii="Verdana" w:eastAsia="Cambria" w:hAnsi="Verdana" w:cs="Calibri"/>
        </w:rPr>
        <w:t xml:space="preserve">agencije </w:t>
      </w:r>
      <w:r w:rsidRPr="00BE3EE0">
        <w:rPr>
          <w:rFonts w:ascii="Verdana" w:eastAsia="Cambria" w:hAnsi="Verdana" w:cs="Calibri"/>
        </w:rPr>
        <w:t>ter evalvacijske prakse strokovnjakov in komisij za samoevalvacije na višjih strokovnih šolah in visokošolskih zavodih</w:t>
      </w:r>
      <w:r w:rsidR="0056521F">
        <w:rPr>
          <w:rFonts w:ascii="Verdana" w:eastAsia="Cambria" w:hAnsi="Verdana" w:cs="Calibri"/>
        </w:rPr>
        <w:t>,</w:t>
      </w:r>
      <w:r>
        <w:rPr>
          <w:rFonts w:ascii="Verdana" w:eastAsia="Cambria" w:hAnsi="Verdana" w:cs="Calibri"/>
        </w:rPr>
        <w:t xml:space="preserve"> ter</w:t>
      </w:r>
      <w:r w:rsidRPr="00BE3EE0">
        <w:rPr>
          <w:rFonts w:ascii="Verdana" w:eastAsia="Cambria" w:hAnsi="Verdana" w:cs="Calibri"/>
        </w:rPr>
        <w:t xml:space="preserve"> </w:t>
      </w:r>
      <w:r>
        <w:rPr>
          <w:rFonts w:ascii="Verdana" w:eastAsia="Cambria" w:hAnsi="Verdana" w:cs="Calibri"/>
        </w:rPr>
        <w:t xml:space="preserve">na zahtevo skupine strokovnjakov ENQA objavljena </w:t>
      </w:r>
      <w:r w:rsidRPr="00FD3EC9">
        <w:rPr>
          <w:rFonts w:ascii="Verdana" w:hAnsi="Verdana"/>
        </w:rPr>
        <w:t>metodologij</w:t>
      </w:r>
      <w:r>
        <w:rPr>
          <w:rFonts w:ascii="Verdana" w:hAnsi="Verdana"/>
        </w:rPr>
        <w:t>a</w:t>
      </w:r>
      <w:r w:rsidRPr="00FD3EC9">
        <w:rPr>
          <w:rFonts w:ascii="Verdana" w:hAnsi="Verdana"/>
        </w:rPr>
        <w:t xml:space="preserve"> in postopek za pripravo in </w:t>
      </w:r>
      <w:proofErr w:type="spellStart"/>
      <w:r w:rsidRPr="00FD3EC9">
        <w:rPr>
          <w:rFonts w:ascii="Verdana" w:hAnsi="Verdana"/>
        </w:rPr>
        <w:t>diseminacijo</w:t>
      </w:r>
      <w:proofErr w:type="spellEnd"/>
      <w:r w:rsidRPr="00FD3EC9">
        <w:rPr>
          <w:rFonts w:ascii="Verdana" w:hAnsi="Verdana"/>
        </w:rPr>
        <w:t xml:space="preserve"> sistemskih ter tematskih analiz</w:t>
      </w:r>
      <w:r>
        <w:rPr>
          <w:rFonts w:ascii="Verdana" w:hAnsi="Verdana"/>
        </w:rPr>
        <w:t>. Dokumenta  sta javno objavljena, deležniki pa so bili povabljeni, da na tej podlagi predlagajo ali dajo pobude za različne analize</w:t>
      </w:r>
      <w:r w:rsidRPr="00BE3EE0">
        <w:rPr>
          <w:rFonts w:ascii="Verdana" w:eastAsia="Cambria" w:hAnsi="Verdana" w:cs="Calibri"/>
        </w:rPr>
        <w:t xml:space="preserve"> na </w:t>
      </w:r>
      <w:r>
        <w:rPr>
          <w:rFonts w:ascii="Verdana" w:eastAsia="Cambria" w:hAnsi="Verdana" w:cs="Calibri"/>
        </w:rPr>
        <w:t xml:space="preserve">posameznih področjih. Do jeseni leta 2018 je na pobudo sveta agencije nastalo </w:t>
      </w:r>
      <w:r w:rsidRPr="002D71AC">
        <w:rPr>
          <w:rFonts w:ascii="Verdana" w:eastAsia="BatangChe" w:hAnsi="Verdana"/>
        </w:rPr>
        <w:t xml:space="preserve">poročilo z naslovom </w:t>
      </w:r>
      <w:r w:rsidRPr="002D71AC">
        <w:rPr>
          <w:rFonts w:ascii="Verdana" w:eastAsia="BatangChe" w:hAnsi="Verdana"/>
          <w:i/>
        </w:rPr>
        <w:t>Kakovost kadrov v slovenskem visokem šolstvu od 2014 do 2017</w:t>
      </w:r>
      <w:r>
        <w:rPr>
          <w:rFonts w:ascii="Verdana" w:eastAsia="BatangChe" w:hAnsi="Verdana"/>
        </w:rPr>
        <w:t xml:space="preserve">, v katerem je obravnavana predvsem kakovost njihovega pedagoškega, strokovnega, znanstvenega, raziskovalnega oziroma umetniškega dela, kot so jo presodili ali ovrednotili strokovnjaki agencije. </w:t>
      </w:r>
    </w:p>
    <w:p w14:paraId="0E96FA44" w14:textId="7D7176FF" w:rsidR="00406A3D" w:rsidRDefault="00406A3D" w:rsidP="00406A3D">
      <w:pPr>
        <w:spacing w:line="240" w:lineRule="auto"/>
        <w:jc w:val="both"/>
        <w:rPr>
          <w:rFonts w:ascii="Verdana" w:eastAsia="BatangChe" w:hAnsi="Verdana"/>
        </w:rPr>
      </w:pPr>
      <w:r>
        <w:rPr>
          <w:rFonts w:ascii="Verdana" w:eastAsia="BatangChe" w:hAnsi="Verdana"/>
        </w:rPr>
        <w:t xml:space="preserve">Agencija se je v sodelovanju z </w:t>
      </w:r>
      <w:r w:rsidR="00FF3A2B">
        <w:rPr>
          <w:rFonts w:ascii="Verdana" w:eastAsia="BatangChe" w:hAnsi="Verdana"/>
        </w:rPr>
        <w:t>Z</w:t>
      </w:r>
      <w:r>
        <w:rPr>
          <w:rFonts w:ascii="Verdana" w:eastAsia="BatangChe" w:hAnsi="Verdana"/>
        </w:rPr>
        <w:t xml:space="preserve">avodom za zaposlovanje prvič lotila projekta o zaposljivosti diplomantov posameznih visokošolskih zavodov. </w:t>
      </w:r>
      <w:r w:rsidR="001B3E36">
        <w:rPr>
          <w:rFonts w:ascii="Verdana" w:eastAsia="BatangChe" w:hAnsi="Verdana"/>
        </w:rPr>
        <w:t>Delo zahteva več časa, ker je za izvedbo potrebno sodelovanje z MIZŠ, ki ima v zakonu zapisano pooblastilo, da lahko poveže podatke o nezaposlenih</w:t>
      </w:r>
      <w:r w:rsidR="00566D23">
        <w:rPr>
          <w:rFonts w:ascii="Verdana" w:eastAsia="BatangChe" w:hAnsi="Verdana"/>
        </w:rPr>
        <w:t>,</w:t>
      </w:r>
      <w:r w:rsidR="001B3E36">
        <w:rPr>
          <w:rFonts w:ascii="Verdana" w:eastAsia="BatangChe" w:hAnsi="Verdana"/>
        </w:rPr>
        <w:t xml:space="preserve"> s katerimi razpolaga Zavod za zaposlovanje</w:t>
      </w:r>
      <w:r w:rsidR="00566D23">
        <w:rPr>
          <w:rFonts w:ascii="Verdana" w:eastAsia="BatangChe" w:hAnsi="Verdana"/>
        </w:rPr>
        <w:t>,</w:t>
      </w:r>
      <w:r w:rsidR="001B3E36">
        <w:rPr>
          <w:rFonts w:ascii="Verdana" w:eastAsia="BatangChe" w:hAnsi="Verdana"/>
        </w:rPr>
        <w:t xml:space="preserve"> s podatki o diplomantih, s katerimi razpolaga MIZŠ. </w:t>
      </w:r>
    </w:p>
    <w:p w14:paraId="5B3CDCE5" w14:textId="75618D83" w:rsidR="00762D9D" w:rsidRPr="009A52F9" w:rsidRDefault="00762D9D" w:rsidP="00580769">
      <w:pPr>
        <w:pStyle w:val="Pripombabesedilo"/>
        <w:jc w:val="both"/>
        <w:rPr>
          <w:rStyle w:val="Pripombasklic"/>
          <w:rFonts w:ascii="Verdana" w:eastAsiaTheme="minorHAnsi" w:hAnsi="Verdana" w:cstheme="minorBidi"/>
          <w:sz w:val="22"/>
          <w:szCs w:val="22"/>
        </w:rPr>
      </w:pPr>
      <w:r>
        <w:rPr>
          <w:rStyle w:val="Pripombasklic"/>
          <w:rFonts w:ascii="Verdana" w:hAnsi="Verdana"/>
          <w:sz w:val="22"/>
          <w:szCs w:val="22"/>
        </w:rPr>
        <w:t>Izdelava osnutka letne</w:t>
      </w:r>
      <w:r w:rsidRPr="009A52F9">
        <w:rPr>
          <w:rStyle w:val="Pripombasklic"/>
          <w:rFonts w:ascii="Verdana" w:hAnsi="Verdana"/>
          <w:sz w:val="22"/>
          <w:szCs w:val="22"/>
        </w:rPr>
        <w:t xml:space="preserve"> publikacije </w:t>
      </w:r>
      <w:r>
        <w:rPr>
          <w:rStyle w:val="Pripombasklic"/>
          <w:rFonts w:ascii="Verdana" w:hAnsi="Verdana"/>
          <w:sz w:val="22"/>
          <w:szCs w:val="22"/>
        </w:rPr>
        <w:t>je prestavljena na začetek leta 2019. Nastanek publikacije je namreč povezan z</w:t>
      </w:r>
      <w:r w:rsidRPr="009A52F9">
        <w:rPr>
          <w:rStyle w:val="Pripombasklic"/>
          <w:rFonts w:ascii="Verdana" w:hAnsi="Verdana"/>
          <w:sz w:val="22"/>
          <w:szCs w:val="22"/>
        </w:rPr>
        <w:t xml:space="preserve"> organizacijo mednarodne letne konference</w:t>
      </w:r>
      <w:r>
        <w:rPr>
          <w:rStyle w:val="Pripombasklic"/>
          <w:rFonts w:ascii="Verdana" w:hAnsi="Verdana"/>
          <w:sz w:val="22"/>
          <w:szCs w:val="22"/>
        </w:rPr>
        <w:t xml:space="preserve"> (predvidoma maja 2019)</w:t>
      </w:r>
      <w:r w:rsidR="009A52F9">
        <w:rPr>
          <w:rStyle w:val="Pripombasklic"/>
          <w:rFonts w:ascii="Verdana" w:hAnsi="Verdana"/>
          <w:sz w:val="22"/>
          <w:szCs w:val="22"/>
        </w:rPr>
        <w:t>, v njej bodo objavljeni</w:t>
      </w:r>
      <w:r w:rsidRPr="009A52F9">
        <w:rPr>
          <w:rStyle w:val="Pripombasklic"/>
          <w:rFonts w:ascii="Verdana" w:hAnsi="Verdana"/>
          <w:sz w:val="22"/>
          <w:szCs w:val="22"/>
        </w:rPr>
        <w:t xml:space="preserve"> prispevk</w:t>
      </w:r>
      <w:r w:rsidR="009A52F9">
        <w:rPr>
          <w:rStyle w:val="Pripombasklic"/>
          <w:rFonts w:ascii="Verdana" w:hAnsi="Verdana"/>
          <w:sz w:val="22"/>
          <w:szCs w:val="22"/>
        </w:rPr>
        <w:t>i</w:t>
      </w:r>
      <w:r w:rsidRPr="009A52F9">
        <w:rPr>
          <w:rStyle w:val="Pripombasklic"/>
          <w:rFonts w:ascii="Verdana" w:hAnsi="Verdana"/>
          <w:sz w:val="22"/>
          <w:szCs w:val="22"/>
        </w:rPr>
        <w:t xml:space="preserve"> eminentnih gostujočih predavateljev in  </w:t>
      </w:r>
      <w:r w:rsidR="009A52F9">
        <w:rPr>
          <w:rStyle w:val="Pripombasklic"/>
          <w:rFonts w:ascii="Verdana" w:hAnsi="Verdana"/>
          <w:sz w:val="22"/>
          <w:szCs w:val="22"/>
        </w:rPr>
        <w:t>izsledki</w:t>
      </w:r>
      <w:r w:rsidRPr="009A52F9">
        <w:rPr>
          <w:rStyle w:val="Pripombasklic"/>
          <w:rFonts w:ascii="Verdana" w:hAnsi="Verdana"/>
          <w:sz w:val="22"/>
          <w:szCs w:val="22"/>
        </w:rPr>
        <w:t xml:space="preserve"> delovanja agencije v zadnjem obdobju. </w:t>
      </w:r>
    </w:p>
    <w:p w14:paraId="3C851E09" w14:textId="77777777" w:rsidR="00580769" w:rsidRDefault="009A52F9" w:rsidP="00406A3D">
      <w:pPr>
        <w:spacing w:line="240" w:lineRule="auto"/>
        <w:jc w:val="both"/>
        <w:rPr>
          <w:rStyle w:val="Pripombasklic"/>
          <w:rFonts w:ascii="Verdana" w:hAnsi="Verdana"/>
          <w:sz w:val="22"/>
          <w:szCs w:val="22"/>
        </w:rPr>
      </w:pPr>
      <w:r>
        <w:rPr>
          <w:rStyle w:val="Pripombasklic"/>
          <w:rFonts w:ascii="Verdana" w:hAnsi="Verdana"/>
          <w:sz w:val="22"/>
          <w:szCs w:val="22"/>
        </w:rPr>
        <w:t xml:space="preserve">Za </w:t>
      </w:r>
      <w:r w:rsidR="00762D9D" w:rsidRPr="009A52F9">
        <w:rPr>
          <w:rStyle w:val="Pripombasklic"/>
          <w:rFonts w:ascii="Verdana" w:hAnsi="Verdana"/>
          <w:sz w:val="22"/>
          <w:szCs w:val="22"/>
        </w:rPr>
        <w:t xml:space="preserve">poslovnik kakovosti </w:t>
      </w:r>
      <w:r>
        <w:rPr>
          <w:rStyle w:val="Pripombasklic"/>
          <w:rFonts w:ascii="Verdana" w:hAnsi="Verdana"/>
          <w:sz w:val="22"/>
          <w:szCs w:val="22"/>
        </w:rPr>
        <w:t>agencije</w:t>
      </w:r>
      <w:r w:rsidR="00762D9D" w:rsidRPr="009A52F9">
        <w:rPr>
          <w:rStyle w:val="Pripombasklic"/>
          <w:rFonts w:ascii="Verdana" w:hAnsi="Verdana"/>
          <w:sz w:val="22"/>
          <w:szCs w:val="22"/>
        </w:rPr>
        <w:t xml:space="preserve"> so bila pripravljena zgolj izhodišča njegovih sprememb in dopolnitev</w:t>
      </w:r>
      <w:r>
        <w:rPr>
          <w:rStyle w:val="Pripombasklic"/>
          <w:rFonts w:ascii="Verdana" w:hAnsi="Verdana"/>
          <w:sz w:val="22"/>
          <w:szCs w:val="22"/>
        </w:rPr>
        <w:t>; sektor bo</w:t>
      </w:r>
      <w:r w:rsidR="00762D9D" w:rsidRPr="009A52F9">
        <w:rPr>
          <w:rStyle w:val="Pripombasklic"/>
          <w:rFonts w:ascii="Verdana" w:hAnsi="Verdana"/>
          <w:sz w:val="22"/>
          <w:szCs w:val="22"/>
        </w:rPr>
        <w:t xml:space="preserve"> najprej priprav</w:t>
      </w:r>
      <w:r>
        <w:rPr>
          <w:rStyle w:val="Pripombasklic"/>
          <w:rFonts w:ascii="Verdana" w:hAnsi="Verdana"/>
          <w:sz w:val="22"/>
          <w:szCs w:val="22"/>
        </w:rPr>
        <w:t>il</w:t>
      </w:r>
      <w:r w:rsidR="00762D9D" w:rsidRPr="009A52F9">
        <w:rPr>
          <w:rStyle w:val="Pripombasklic"/>
          <w:rFonts w:ascii="Verdana" w:hAnsi="Verdana"/>
          <w:sz w:val="22"/>
          <w:szCs w:val="22"/>
        </w:rPr>
        <w:t xml:space="preserve"> komunik</w:t>
      </w:r>
      <w:r>
        <w:rPr>
          <w:rStyle w:val="Pripombasklic"/>
          <w:rFonts w:ascii="Verdana" w:hAnsi="Verdana"/>
          <w:sz w:val="22"/>
          <w:szCs w:val="22"/>
        </w:rPr>
        <w:t>a</w:t>
      </w:r>
      <w:r w:rsidR="00762D9D" w:rsidRPr="009A52F9">
        <w:rPr>
          <w:rStyle w:val="Pripombasklic"/>
          <w:rFonts w:ascii="Verdana" w:hAnsi="Verdana"/>
          <w:sz w:val="22"/>
          <w:szCs w:val="22"/>
        </w:rPr>
        <w:t>cijsk</w:t>
      </w:r>
      <w:r>
        <w:rPr>
          <w:rStyle w:val="Pripombasklic"/>
          <w:rFonts w:ascii="Verdana" w:hAnsi="Verdana"/>
          <w:sz w:val="22"/>
          <w:szCs w:val="22"/>
        </w:rPr>
        <w:t>i</w:t>
      </w:r>
      <w:r w:rsidR="00762D9D" w:rsidRPr="009A52F9">
        <w:rPr>
          <w:rStyle w:val="Pripombasklic"/>
          <w:rFonts w:ascii="Verdana" w:hAnsi="Verdana"/>
          <w:sz w:val="22"/>
          <w:szCs w:val="22"/>
        </w:rPr>
        <w:t xml:space="preserve"> pravilnik</w:t>
      </w:r>
      <w:r>
        <w:rPr>
          <w:rStyle w:val="Pripombasklic"/>
          <w:rFonts w:ascii="Verdana" w:hAnsi="Verdana"/>
          <w:sz w:val="22"/>
          <w:szCs w:val="22"/>
        </w:rPr>
        <w:t xml:space="preserve"> in na tej podlagi prenovil poslovnik</w:t>
      </w:r>
      <w:r w:rsidR="00762D9D" w:rsidRPr="009A52F9">
        <w:rPr>
          <w:rStyle w:val="Pripombasklic"/>
          <w:rFonts w:ascii="Verdana" w:hAnsi="Verdana"/>
          <w:sz w:val="22"/>
          <w:szCs w:val="22"/>
        </w:rPr>
        <w:t xml:space="preserve">.  </w:t>
      </w:r>
    </w:p>
    <w:p w14:paraId="510BC4B7" w14:textId="2C2438FA" w:rsidR="00406A3D" w:rsidRDefault="00406A3D" w:rsidP="00406A3D">
      <w:pPr>
        <w:spacing w:line="240" w:lineRule="auto"/>
        <w:jc w:val="both"/>
        <w:rPr>
          <w:rFonts w:ascii="Verdana" w:eastAsia="Cambria" w:hAnsi="Verdana" w:cs="Times New Roman"/>
        </w:rPr>
      </w:pPr>
      <w:r w:rsidRPr="004D57E6">
        <w:rPr>
          <w:rFonts w:ascii="Verdana" w:eastAsia="Cambria" w:hAnsi="Verdana" w:cs="Times New Roman"/>
          <w:b/>
        </w:rPr>
        <w:t>Mednarodno sodelovanje</w:t>
      </w:r>
      <w:r w:rsidRPr="004D57E6">
        <w:rPr>
          <w:rFonts w:ascii="Verdana" w:eastAsia="Cambria" w:hAnsi="Verdana" w:cs="Times New Roman"/>
        </w:rPr>
        <w:t xml:space="preserve"> agencije</w:t>
      </w:r>
      <w:r>
        <w:rPr>
          <w:rFonts w:ascii="Verdana" w:eastAsia="Cambria" w:hAnsi="Verdana" w:cs="Times New Roman"/>
        </w:rPr>
        <w:t xml:space="preserve"> je potekalo po načrtu, poglavitne naloge so bile v celoti narejene. Najpomembnejše na tem področju je bilo večmesečno delo agencije, povezano z zunanjo evalvacijo agencije. Intenzivno se je začelo že v prvi polovici leta 2018, saj </w:t>
      </w:r>
      <w:r w:rsidR="0056521F">
        <w:rPr>
          <w:rFonts w:ascii="Verdana" w:eastAsia="Cambria" w:hAnsi="Verdana" w:cs="Times New Roman"/>
        </w:rPr>
        <w:t xml:space="preserve">se </w:t>
      </w:r>
      <w:r>
        <w:rPr>
          <w:rFonts w:ascii="Verdana" w:eastAsia="Cambria" w:hAnsi="Verdana" w:cs="Times New Roman"/>
        </w:rPr>
        <w:t xml:space="preserve">je morala agencija pripraviti na obisk mednarodne skupine ENQA junija 2018. V LDN 2018 je bil zato načrtovan še odgovor agencije na prvo poročilo te skupine, ne pa tudi dodatne naloge, ki jih je na podlagi tega opravila in so opisane zgoraj. Zaradi nedoslednih ugotovitev skupine strokovnjakov ENQA je morala agencija pripraviti obširnejši odgovor, kot je sprva načrtovala, in dodatna dokazila za podkrepitev svojih navedb v odgovoru. Ta naloga je dobila prednost tudi v drugih </w:t>
      </w:r>
      <w:r w:rsidR="0056521F">
        <w:rPr>
          <w:rFonts w:ascii="Verdana" w:eastAsia="Cambria" w:hAnsi="Verdana" w:cs="Times New Roman"/>
        </w:rPr>
        <w:t xml:space="preserve">dveh </w:t>
      </w:r>
      <w:r>
        <w:rPr>
          <w:rFonts w:ascii="Verdana" w:eastAsia="Cambria" w:hAnsi="Verdana" w:cs="Times New Roman"/>
        </w:rPr>
        <w:t xml:space="preserve">sektorjih agencije, saj je  zahtevala sodelovanje vseh. Zunanja evalvacija agencije je bila uspešna, </w:t>
      </w:r>
      <w:r w:rsidR="0056521F">
        <w:rPr>
          <w:rFonts w:ascii="Verdana" w:eastAsia="Cambria" w:hAnsi="Verdana" w:cs="Times New Roman"/>
        </w:rPr>
        <w:t>decembra 2018</w:t>
      </w:r>
      <w:r>
        <w:rPr>
          <w:rFonts w:ascii="Verdana" w:eastAsia="Cambria" w:hAnsi="Verdana" w:cs="Times New Roman"/>
        </w:rPr>
        <w:t xml:space="preserve"> ji je bilo članstvo v ENQA podaljšano za nadaljnjih pet let. Podaljšanje je pomemben dosežek in hkrati priznanje agenciji, da opravlja svoje </w:t>
      </w:r>
      <w:r>
        <w:rPr>
          <w:rFonts w:ascii="Verdana" w:eastAsia="Cambria" w:hAnsi="Verdana" w:cs="Times New Roman"/>
        </w:rPr>
        <w:lastRenderedPageBreak/>
        <w:t xml:space="preserve">poslanstvo v skladu z evropskimi standardi o zagotavljanju kakovosti v visokem in višjem šolstvu.   </w:t>
      </w:r>
    </w:p>
    <w:p w14:paraId="4B867B4B" w14:textId="3A20A5E1" w:rsidR="00406A3D" w:rsidRDefault="00580769" w:rsidP="00406A3D">
      <w:pPr>
        <w:spacing w:line="240" w:lineRule="auto"/>
        <w:jc w:val="both"/>
        <w:rPr>
          <w:rFonts w:ascii="Verdana" w:eastAsia="Cambria" w:hAnsi="Verdana" w:cs="Times New Roman"/>
        </w:rPr>
      </w:pPr>
      <w:r>
        <w:rPr>
          <w:rFonts w:ascii="Verdana" w:eastAsia="Cambria" w:hAnsi="Verdana" w:cs="Times New Roman"/>
        </w:rPr>
        <w:t xml:space="preserve">Plodno je bilo sodelovanje s tujimi agencijami za kakovost. Agencija se je z avstrijsko agencijo dogovorila za hkratno akreditacijo ene od univerz v postopku podaljšanja njene akreditacije. Obisk se od jeseni 2018 skrbno načrtuje, z avstrijsko agencijo je bilo treba sprejeti dogovor glede vloge, spremljajočih dokumentov in sodelovanja pri </w:t>
      </w:r>
      <w:proofErr w:type="spellStart"/>
      <w:r>
        <w:rPr>
          <w:rFonts w:ascii="Verdana" w:eastAsia="Cambria" w:hAnsi="Verdana" w:cs="Times New Roman"/>
        </w:rPr>
        <w:t>evalvacijskem</w:t>
      </w:r>
      <w:proofErr w:type="spellEnd"/>
      <w:r>
        <w:rPr>
          <w:rFonts w:ascii="Verdana" w:eastAsia="Cambria" w:hAnsi="Verdana" w:cs="Times New Roman"/>
        </w:rPr>
        <w:t xml:space="preserve"> obisku univerze. Obiskana je bila še ruska agencija za kakovost, našo agencijo pa so obiskali predstavniki tujih agencij</w:t>
      </w:r>
      <w:r w:rsidR="0056521F">
        <w:rPr>
          <w:rFonts w:ascii="Verdana" w:eastAsia="Cambria" w:hAnsi="Verdana" w:cs="Times New Roman"/>
        </w:rPr>
        <w:t xml:space="preserve"> s povabilom, da sodeluje pri vzpostavljanju mednarodno primerljivih sistemov presojanja kakovosti visokega šolstva, kar je nedvomno priznanje za agencijo</w:t>
      </w:r>
      <w:r>
        <w:rPr>
          <w:rFonts w:ascii="Verdana" w:eastAsia="Cambria" w:hAnsi="Verdana" w:cs="Times New Roman"/>
        </w:rPr>
        <w:t>.</w:t>
      </w:r>
    </w:p>
    <w:p w14:paraId="234454F8" w14:textId="77777777" w:rsidR="003000AF" w:rsidRDefault="003000AF" w:rsidP="00406A3D">
      <w:pPr>
        <w:spacing w:line="240" w:lineRule="auto"/>
        <w:jc w:val="both"/>
        <w:rPr>
          <w:rFonts w:ascii="Verdana" w:eastAsia="Cambria" w:hAnsi="Verdana" w:cs="Times New Roman"/>
        </w:rPr>
      </w:pPr>
    </w:p>
    <w:p w14:paraId="669A0613" w14:textId="77777777" w:rsidR="00A42BA5" w:rsidRPr="00631B37" w:rsidRDefault="00A42BA5" w:rsidP="00406A3D">
      <w:pPr>
        <w:spacing w:line="240" w:lineRule="auto"/>
        <w:jc w:val="both"/>
        <w:rPr>
          <w:rFonts w:ascii="Verdana" w:eastAsia="Cambria" w:hAnsi="Verdana" w:cs="Times New Roman"/>
        </w:rPr>
      </w:pPr>
    </w:p>
    <w:tbl>
      <w:tblPr>
        <w:tblStyle w:val="Tabelamrea"/>
        <w:tblW w:w="9923" w:type="dxa"/>
        <w:tblInd w:w="108" w:type="dxa"/>
        <w:tblLayout w:type="fixed"/>
        <w:tblLook w:val="04A0" w:firstRow="1" w:lastRow="0" w:firstColumn="1" w:lastColumn="0" w:noHBand="0" w:noVBand="1"/>
      </w:tblPr>
      <w:tblGrid>
        <w:gridCol w:w="2694"/>
        <w:gridCol w:w="2976"/>
        <w:gridCol w:w="1276"/>
        <w:gridCol w:w="851"/>
        <w:gridCol w:w="1134"/>
        <w:gridCol w:w="992"/>
      </w:tblGrid>
      <w:tr w:rsidR="00C11985" w:rsidRPr="00E525AF" w14:paraId="6B0631B5" w14:textId="77777777" w:rsidTr="00580769">
        <w:trPr>
          <w:trHeight w:val="820"/>
        </w:trPr>
        <w:tc>
          <w:tcPr>
            <w:tcW w:w="9923" w:type="dxa"/>
            <w:gridSpan w:val="6"/>
            <w:shd w:val="clear" w:color="auto" w:fill="B8CCE4" w:themeFill="accent1" w:themeFillTint="66"/>
            <w:noWrap/>
            <w:hideMark/>
          </w:tcPr>
          <w:p w14:paraId="0134CBC9" w14:textId="77777777" w:rsidR="00C11985" w:rsidRPr="0022059D" w:rsidRDefault="00C11985" w:rsidP="00406A3D">
            <w:pPr>
              <w:rPr>
                <w:rFonts w:ascii="Verdana" w:eastAsia="Times New Roman" w:hAnsi="Verdana" w:cs="Times New Roman"/>
                <w:b/>
                <w:bCs/>
                <w:color w:val="000000"/>
                <w:lang w:eastAsia="sl-SI"/>
              </w:rPr>
            </w:pPr>
          </w:p>
          <w:p w14:paraId="617A81D5" w14:textId="77777777" w:rsidR="00C11985" w:rsidRPr="00167CAB" w:rsidRDefault="00C11985" w:rsidP="00406A3D">
            <w:pPr>
              <w:ind w:left="360"/>
              <w:jc w:val="center"/>
              <w:rPr>
                <w:rFonts w:ascii="Verdana" w:eastAsia="Times New Roman" w:hAnsi="Verdana"/>
                <w:b/>
                <w:bCs/>
                <w:color w:val="000000"/>
                <w:lang w:eastAsia="sl-SI"/>
              </w:rPr>
            </w:pPr>
            <w:r w:rsidRPr="00167CAB">
              <w:rPr>
                <w:rFonts w:ascii="Verdana" w:eastAsia="Times New Roman" w:hAnsi="Verdana"/>
                <w:b/>
                <w:bCs/>
                <w:color w:val="000000"/>
                <w:lang w:eastAsia="sl-SI"/>
              </w:rPr>
              <w:t>SEKTOR ZA SPLOŠNE ZADEVE</w:t>
            </w:r>
          </w:p>
          <w:p w14:paraId="49FC3190" w14:textId="50ED1A37" w:rsidR="00C11985" w:rsidRPr="008551BE" w:rsidRDefault="00C11985" w:rsidP="00406A3D">
            <w:pPr>
              <w:rPr>
                <w:rFonts w:ascii="Verdana" w:hAnsi="Verdana"/>
                <w:b/>
              </w:rPr>
            </w:pPr>
          </w:p>
        </w:tc>
      </w:tr>
      <w:tr w:rsidR="00406A3D" w:rsidRPr="00B21990" w14:paraId="6C996C10" w14:textId="77777777" w:rsidTr="00406A3D">
        <w:trPr>
          <w:trHeight w:val="675"/>
        </w:trPr>
        <w:tc>
          <w:tcPr>
            <w:tcW w:w="2694" w:type="dxa"/>
            <w:shd w:val="clear" w:color="auto" w:fill="C2D69B" w:themeFill="accent3" w:themeFillTint="99"/>
            <w:hideMark/>
          </w:tcPr>
          <w:p w14:paraId="7EBE6DE5" w14:textId="5231B66C" w:rsidR="00406A3D" w:rsidRPr="00D04954" w:rsidRDefault="00406A3D" w:rsidP="00406A3D">
            <w:pPr>
              <w:rPr>
                <w:rFonts w:ascii="Verdana" w:eastAsia="Times New Roman" w:hAnsi="Verdana" w:cs="Times New Roman"/>
                <w:b/>
                <w:bCs/>
                <w:color w:val="000000"/>
                <w:sz w:val="20"/>
                <w:szCs w:val="20"/>
                <w:lang w:eastAsia="sl-SI"/>
              </w:rPr>
            </w:pPr>
            <w:r w:rsidRPr="00D04954">
              <w:rPr>
                <w:rFonts w:ascii="Verdana" w:eastAsia="Times New Roman" w:hAnsi="Verdana" w:cs="Times New Roman"/>
                <w:b/>
                <w:bCs/>
                <w:color w:val="000000"/>
                <w:sz w:val="20"/>
                <w:szCs w:val="20"/>
                <w:lang w:eastAsia="sl-SI"/>
              </w:rPr>
              <w:t>naloga</w:t>
            </w:r>
          </w:p>
        </w:tc>
        <w:tc>
          <w:tcPr>
            <w:tcW w:w="2976" w:type="dxa"/>
            <w:shd w:val="clear" w:color="auto" w:fill="C2D69B" w:themeFill="accent3" w:themeFillTint="99"/>
            <w:hideMark/>
          </w:tcPr>
          <w:p w14:paraId="6A8AEB97" w14:textId="77777777" w:rsidR="00406A3D" w:rsidRPr="00B21990" w:rsidRDefault="00406A3D" w:rsidP="00406A3D">
            <w:pPr>
              <w:rPr>
                <w:rFonts w:ascii="Verdana" w:eastAsia="Times New Roman" w:hAnsi="Verdana" w:cs="Times New Roman"/>
                <w:b/>
                <w:bCs/>
                <w:color w:val="000000"/>
                <w:sz w:val="20"/>
                <w:szCs w:val="20"/>
                <w:lang w:eastAsia="sl-SI"/>
              </w:rPr>
            </w:pPr>
            <w:r w:rsidRPr="00B21990">
              <w:rPr>
                <w:rFonts w:ascii="Verdana" w:eastAsia="Times New Roman" w:hAnsi="Verdana" w:cs="Times New Roman"/>
                <w:b/>
                <w:bCs/>
                <w:color w:val="000000"/>
                <w:sz w:val="20"/>
                <w:szCs w:val="20"/>
                <w:lang w:eastAsia="sl-SI"/>
              </w:rPr>
              <w:t>vsebina</w:t>
            </w:r>
          </w:p>
        </w:tc>
        <w:tc>
          <w:tcPr>
            <w:tcW w:w="1276" w:type="dxa"/>
            <w:shd w:val="clear" w:color="auto" w:fill="C2D69B" w:themeFill="accent3" w:themeFillTint="99"/>
            <w:hideMark/>
          </w:tcPr>
          <w:p w14:paraId="6E7CF45E" w14:textId="77777777" w:rsidR="00406A3D" w:rsidRPr="00B21990" w:rsidRDefault="00406A3D" w:rsidP="00406A3D">
            <w:pPr>
              <w:rPr>
                <w:rFonts w:ascii="Verdana" w:eastAsia="Times New Roman" w:hAnsi="Verdana" w:cs="Times New Roman"/>
                <w:b/>
                <w:bCs/>
                <w:color w:val="000000"/>
                <w:sz w:val="18"/>
                <w:szCs w:val="18"/>
                <w:lang w:eastAsia="sl-SI"/>
              </w:rPr>
            </w:pPr>
            <w:r w:rsidRPr="00B21990">
              <w:rPr>
                <w:rFonts w:ascii="Verdana" w:eastAsia="Times New Roman" w:hAnsi="Verdana" w:cs="Times New Roman"/>
                <w:b/>
                <w:bCs/>
                <w:color w:val="000000"/>
                <w:sz w:val="20"/>
                <w:szCs w:val="20"/>
                <w:lang w:eastAsia="sl-SI"/>
              </w:rPr>
              <w:t xml:space="preserve">opravljeno </w:t>
            </w:r>
            <w:r w:rsidRPr="00B21990">
              <w:rPr>
                <w:rFonts w:ascii="Verdana" w:eastAsia="Times New Roman" w:hAnsi="Verdana" w:cs="Times New Roman"/>
                <w:b/>
                <w:bCs/>
                <w:color w:val="000000"/>
                <w:sz w:val="16"/>
                <w:szCs w:val="16"/>
                <w:lang w:eastAsia="sl-SI"/>
              </w:rPr>
              <w:br/>
            </w:r>
            <w:r w:rsidRPr="00B21990">
              <w:rPr>
                <w:rFonts w:ascii="Verdana" w:eastAsia="Times New Roman" w:hAnsi="Verdana" w:cs="Times New Roman"/>
                <w:b/>
                <w:bCs/>
                <w:color w:val="000000"/>
                <w:sz w:val="18"/>
                <w:szCs w:val="18"/>
                <w:lang w:eastAsia="sl-SI"/>
              </w:rPr>
              <w:t>DA/NE/ DELNO</w:t>
            </w:r>
          </w:p>
        </w:tc>
        <w:tc>
          <w:tcPr>
            <w:tcW w:w="851" w:type="dxa"/>
            <w:shd w:val="clear" w:color="auto" w:fill="C2D69B" w:themeFill="accent3" w:themeFillTint="99"/>
            <w:hideMark/>
          </w:tcPr>
          <w:p w14:paraId="4AB7A54C" w14:textId="77777777" w:rsidR="00406A3D" w:rsidRDefault="00406A3D" w:rsidP="00406A3D">
            <w:pPr>
              <w:rPr>
                <w:rFonts w:ascii="Verdana" w:eastAsia="Times New Roman" w:hAnsi="Verdana" w:cs="Times New Roman"/>
                <w:b/>
                <w:bCs/>
                <w:color w:val="000000"/>
                <w:sz w:val="16"/>
                <w:szCs w:val="16"/>
                <w:lang w:eastAsia="sl-SI"/>
              </w:rPr>
            </w:pPr>
            <w:r w:rsidRPr="00B21990">
              <w:rPr>
                <w:rFonts w:ascii="Verdana" w:eastAsia="Times New Roman" w:hAnsi="Verdana" w:cs="Times New Roman"/>
                <w:b/>
                <w:bCs/>
                <w:color w:val="000000"/>
                <w:sz w:val="18"/>
                <w:szCs w:val="18"/>
                <w:lang w:eastAsia="sl-SI"/>
              </w:rPr>
              <w:t xml:space="preserve"> </w:t>
            </w:r>
            <w:r w:rsidRPr="00B21990">
              <w:rPr>
                <w:rFonts w:ascii="Verdana" w:eastAsia="Times New Roman" w:hAnsi="Verdana" w:cs="Times New Roman"/>
                <w:b/>
                <w:bCs/>
                <w:color w:val="000000"/>
                <w:sz w:val="20"/>
                <w:szCs w:val="20"/>
                <w:lang w:eastAsia="sl-SI"/>
              </w:rPr>
              <w:t xml:space="preserve">A </w:t>
            </w:r>
            <w:r>
              <w:rPr>
                <w:rFonts w:ascii="Verdana" w:eastAsia="Times New Roman" w:hAnsi="Verdana" w:cs="Times New Roman"/>
                <w:b/>
                <w:bCs/>
                <w:color w:val="000000"/>
                <w:sz w:val="18"/>
                <w:szCs w:val="18"/>
                <w:lang w:eastAsia="sl-SI"/>
              </w:rPr>
              <w:t>(</w:t>
            </w:r>
            <w:r w:rsidRPr="00B21990">
              <w:rPr>
                <w:rFonts w:ascii="Verdana" w:eastAsia="Times New Roman" w:hAnsi="Verdana" w:cs="Times New Roman"/>
                <w:b/>
                <w:bCs/>
                <w:color w:val="000000"/>
                <w:sz w:val="16"/>
                <w:szCs w:val="16"/>
                <w:lang w:eastAsia="sl-SI"/>
              </w:rPr>
              <w:t>strateški cilji</w:t>
            </w:r>
            <w:r>
              <w:rPr>
                <w:rFonts w:ascii="Verdana" w:eastAsia="Times New Roman" w:hAnsi="Verdana" w:cs="Times New Roman"/>
                <w:b/>
                <w:bCs/>
                <w:color w:val="000000"/>
                <w:sz w:val="16"/>
                <w:szCs w:val="16"/>
                <w:lang w:eastAsia="sl-SI"/>
              </w:rPr>
              <w:t>)</w:t>
            </w:r>
          </w:p>
          <w:p w14:paraId="024D24B6" w14:textId="77777777" w:rsidR="00406A3D" w:rsidRPr="00B21990" w:rsidRDefault="00406A3D" w:rsidP="00406A3D">
            <w:pPr>
              <w:rPr>
                <w:rFonts w:ascii="Verdana" w:eastAsia="Times New Roman" w:hAnsi="Verdana" w:cs="Times New Roman"/>
                <w:b/>
                <w:bCs/>
                <w:color w:val="000000"/>
                <w:sz w:val="18"/>
                <w:szCs w:val="18"/>
                <w:lang w:eastAsia="sl-SI"/>
              </w:rPr>
            </w:pPr>
            <w:r w:rsidRPr="00B21990">
              <w:rPr>
                <w:rFonts w:ascii="Verdana" w:eastAsia="Times New Roman" w:hAnsi="Verdana" w:cs="Times New Roman"/>
                <w:b/>
                <w:bCs/>
                <w:color w:val="000000"/>
                <w:sz w:val="18"/>
                <w:szCs w:val="18"/>
                <w:lang w:eastAsia="sl-SI"/>
              </w:rPr>
              <w:t xml:space="preserve"> </w:t>
            </w:r>
          </w:p>
        </w:tc>
        <w:tc>
          <w:tcPr>
            <w:tcW w:w="1134" w:type="dxa"/>
            <w:shd w:val="clear" w:color="auto" w:fill="C2D69B" w:themeFill="accent3" w:themeFillTint="99"/>
            <w:hideMark/>
          </w:tcPr>
          <w:p w14:paraId="64861442" w14:textId="77777777" w:rsidR="00406A3D" w:rsidRPr="00B21990" w:rsidRDefault="00406A3D" w:rsidP="00406A3D">
            <w:pPr>
              <w:rPr>
                <w:rFonts w:ascii="Verdana" w:eastAsia="Times New Roman" w:hAnsi="Verdana" w:cs="Times New Roman"/>
                <w:b/>
                <w:bCs/>
                <w:color w:val="000000"/>
                <w:sz w:val="20"/>
                <w:szCs w:val="20"/>
                <w:lang w:eastAsia="sl-SI"/>
              </w:rPr>
            </w:pPr>
            <w:r w:rsidRPr="00B21990">
              <w:rPr>
                <w:rFonts w:ascii="Verdana" w:eastAsia="Times New Roman" w:hAnsi="Verdana" w:cs="Times New Roman"/>
                <w:b/>
                <w:bCs/>
                <w:color w:val="000000"/>
                <w:sz w:val="20"/>
                <w:szCs w:val="20"/>
                <w:lang w:eastAsia="sl-SI"/>
              </w:rPr>
              <w:t>B</w:t>
            </w:r>
          </w:p>
          <w:p w14:paraId="06C42663" w14:textId="77777777" w:rsidR="00406A3D" w:rsidRPr="00B21990" w:rsidRDefault="00406A3D" w:rsidP="00406A3D">
            <w:pPr>
              <w:rPr>
                <w:rFonts w:ascii="Verdana" w:eastAsia="Times New Roman" w:hAnsi="Verdana" w:cs="Times New Roman"/>
                <w:b/>
                <w:bCs/>
                <w:color w:val="000000"/>
                <w:sz w:val="16"/>
                <w:szCs w:val="16"/>
                <w:lang w:eastAsia="sl-SI"/>
              </w:rPr>
            </w:pPr>
            <w:r w:rsidRPr="00B21990">
              <w:rPr>
                <w:rFonts w:ascii="Verdana" w:eastAsia="Times New Roman" w:hAnsi="Verdana" w:cs="Times New Roman"/>
                <w:b/>
                <w:bCs/>
                <w:color w:val="000000"/>
                <w:sz w:val="16"/>
                <w:szCs w:val="16"/>
                <w:lang w:eastAsia="sl-SI"/>
              </w:rPr>
              <w:t>(področja presoje</w:t>
            </w:r>
            <w:r>
              <w:rPr>
                <w:rFonts w:ascii="Verdana" w:eastAsia="Times New Roman" w:hAnsi="Verdana" w:cs="Times New Roman"/>
                <w:b/>
                <w:bCs/>
                <w:color w:val="000000"/>
                <w:sz w:val="16"/>
                <w:szCs w:val="16"/>
                <w:lang w:eastAsia="sl-SI"/>
              </w:rPr>
              <w:t>)</w:t>
            </w:r>
          </w:p>
        </w:tc>
        <w:tc>
          <w:tcPr>
            <w:tcW w:w="992" w:type="dxa"/>
            <w:shd w:val="clear" w:color="auto" w:fill="C2D69B" w:themeFill="accent3" w:themeFillTint="99"/>
            <w:hideMark/>
          </w:tcPr>
          <w:p w14:paraId="2E01587E" w14:textId="77777777" w:rsidR="00406A3D" w:rsidRPr="00B21990" w:rsidRDefault="00406A3D" w:rsidP="00406A3D">
            <w:pPr>
              <w:rPr>
                <w:rFonts w:ascii="Verdana" w:eastAsia="Times New Roman" w:hAnsi="Verdana" w:cs="Times New Roman"/>
                <w:b/>
                <w:bCs/>
                <w:color w:val="000000"/>
                <w:sz w:val="20"/>
                <w:szCs w:val="20"/>
                <w:lang w:eastAsia="sl-SI"/>
              </w:rPr>
            </w:pPr>
            <w:r w:rsidRPr="00B21990">
              <w:rPr>
                <w:rFonts w:ascii="Verdana" w:eastAsia="Times New Roman" w:hAnsi="Verdana" w:cs="Times New Roman"/>
                <w:b/>
                <w:bCs/>
                <w:color w:val="000000"/>
                <w:sz w:val="20"/>
                <w:szCs w:val="20"/>
                <w:lang w:eastAsia="sl-SI"/>
              </w:rPr>
              <w:t>C</w:t>
            </w:r>
          </w:p>
          <w:p w14:paraId="04AC99EA" w14:textId="77777777" w:rsidR="00406A3D" w:rsidRPr="00B21990" w:rsidRDefault="00406A3D" w:rsidP="00406A3D">
            <w:pPr>
              <w:rPr>
                <w:rFonts w:ascii="Verdana" w:eastAsia="Times New Roman" w:hAnsi="Verdana" w:cs="Times New Roman"/>
                <w:b/>
                <w:bCs/>
                <w:color w:val="000000"/>
                <w:sz w:val="16"/>
                <w:szCs w:val="16"/>
                <w:lang w:eastAsia="sl-SI"/>
              </w:rPr>
            </w:pPr>
            <w:r w:rsidRPr="00B21990">
              <w:rPr>
                <w:rFonts w:ascii="Verdana" w:eastAsia="Times New Roman" w:hAnsi="Verdana" w:cs="Times New Roman"/>
                <w:b/>
                <w:bCs/>
                <w:color w:val="000000"/>
                <w:sz w:val="16"/>
                <w:szCs w:val="16"/>
                <w:lang w:eastAsia="sl-SI"/>
              </w:rPr>
              <w:t>(vrednote)</w:t>
            </w:r>
          </w:p>
        </w:tc>
      </w:tr>
      <w:tr w:rsidR="00F40383" w:rsidRPr="00E525AF" w14:paraId="66514D95" w14:textId="77777777" w:rsidTr="00580769">
        <w:trPr>
          <w:trHeight w:val="300"/>
        </w:trPr>
        <w:tc>
          <w:tcPr>
            <w:tcW w:w="9923" w:type="dxa"/>
            <w:gridSpan w:val="6"/>
            <w:shd w:val="clear" w:color="auto" w:fill="E5B8B7" w:themeFill="accent2" w:themeFillTint="66"/>
            <w:hideMark/>
          </w:tcPr>
          <w:p w14:paraId="5E4268C9" w14:textId="77777777" w:rsidR="00F40383" w:rsidRDefault="00F40383" w:rsidP="00406A3D">
            <w:pPr>
              <w:rPr>
                <w:rFonts w:ascii="Verdana" w:eastAsia="Times New Roman" w:hAnsi="Verdana" w:cs="Times New Roman"/>
                <w:b/>
                <w:bCs/>
                <w:color w:val="000000"/>
                <w:sz w:val="20"/>
                <w:szCs w:val="20"/>
                <w:lang w:eastAsia="sl-SI"/>
              </w:rPr>
            </w:pPr>
          </w:p>
          <w:p w14:paraId="30D7B4DE" w14:textId="77777777" w:rsidR="00F40383" w:rsidRPr="00E525AF" w:rsidRDefault="00F40383" w:rsidP="00406A3D">
            <w:pPr>
              <w:rPr>
                <w:rFonts w:ascii="Verdana" w:eastAsia="Times New Roman" w:hAnsi="Verdana" w:cs="Times New Roman"/>
                <w:b/>
                <w:bCs/>
                <w:color w:val="000000"/>
                <w:sz w:val="20"/>
                <w:szCs w:val="20"/>
                <w:lang w:eastAsia="sl-SI"/>
              </w:rPr>
            </w:pPr>
            <w:r w:rsidRPr="00E525AF">
              <w:rPr>
                <w:rFonts w:ascii="Verdana" w:eastAsia="Times New Roman" w:hAnsi="Verdana" w:cs="Times New Roman"/>
                <w:b/>
                <w:bCs/>
                <w:color w:val="000000"/>
                <w:sz w:val="20"/>
                <w:szCs w:val="20"/>
                <w:lang w:eastAsia="sl-SI"/>
              </w:rPr>
              <w:t xml:space="preserve">Zakonodaja in priprava notranjih pravnih aktov agencije  </w:t>
            </w:r>
          </w:p>
          <w:p w14:paraId="6907ABA8" w14:textId="1F102259" w:rsidR="00F40383" w:rsidRPr="00E525AF" w:rsidRDefault="00F40383" w:rsidP="00406A3D">
            <w:pPr>
              <w:rPr>
                <w:rFonts w:ascii="Verdana" w:eastAsia="Times New Roman" w:hAnsi="Verdana" w:cs="Times New Roman"/>
                <w:b/>
                <w:bCs/>
                <w:color w:val="000000"/>
                <w:sz w:val="20"/>
                <w:szCs w:val="20"/>
                <w:lang w:eastAsia="sl-SI"/>
              </w:rPr>
            </w:pPr>
            <w:r w:rsidRPr="00E525AF">
              <w:rPr>
                <w:rFonts w:ascii="Verdana" w:eastAsia="Times New Roman" w:hAnsi="Verdana" w:cs="Times New Roman"/>
                <w:b/>
                <w:bCs/>
                <w:color w:val="000000"/>
                <w:sz w:val="20"/>
                <w:szCs w:val="20"/>
                <w:lang w:eastAsia="sl-SI"/>
              </w:rPr>
              <w:t> </w:t>
            </w:r>
          </w:p>
        </w:tc>
      </w:tr>
      <w:tr w:rsidR="00406A3D" w:rsidRPr="00E525AF" w14:paraId="563C1B04" w14:textId="77777777" w:rsidTr="00406A3D">
        <w:trPr>
          <w:trHeight w:val="1275"/>
        </w:trPr>
        <w:tc>
          <w:tcPr>
            <w:tcW w:w="2694" w:type="dxa"/>
            <w:hideMark/>
          </w:tcPr>
          <w:p w14:paraId="581A2924"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Predlog osnutka zakona o agenciji</w:t>
            </w:r>
          </w:p>
        </w:tc>
        <w:tc>
          <w:tcPr>
            <w:tcW w:w="2976" w:type="dxa"/>
            <w:hideMark/>
          </w:tcPr>
          <w:p w14:paraId="7EA92603"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 xml:space="preserve">Ureditev statusa agencije, utrditev njene neodvisnosti, revizija postopkov in standardov kakovosti…; pristojnost, naloge agencije ter </w:t>
            </w:r>
            <w:proofErr w:type="spellStart"/>
            <w:r w:rsidRPr="00E525AF">
              <w:rPr>
                <w:rFonts w:ascii="Verdana" w:eastAsia="Times New Roman" w:hAnsi="Verdana" w:cs="Times New Roman"/>
                <w:color w:val="000000"/>
                <w:sz w:val="20"/>
                <w:szCs w:val="20"/>
                <w:lang w:eastAsia="sl-SI"/>
              </w:rPr>
              <w:t>akreditacijski</w:t>
            </w:r>
            <w:proofErr w:type="spellEnd"/>
            <w:r w:rsidRPr="00E525AF">
              <w:rPr>
                <w:rFonts w:ascii="Verdana" w:eastAsia="Times New Roman" w:hAnsi="Verdana" w:cs="Times New Roman"/>
                <w:color w:val="000000"/>
                <w:sz w:val="20"/>
                <w:szCs w:val="20"/>
                <w:lang w:eastAsia="sl-SI"/>
              </w:rPr>
              <w:t xml:space="preserve"> in </w:t>
            </w:r>
            <w:proofErr w:type="spellStart"/>
            <w:r w:rsidRPr="00E525AF">
              <w:rPr>
                <w:rFonts w:ascii="Verdana" w:eastAsia="Times New Roman" w:hAnsi="Verdana" w:cs="Times New Roman"/>
                <w:color w:val="000000"/>
                <w:sz w:val="20"/>
                <w:szCs w:val="20"/>
                <w:lang w:eastAsia="sl-SI"/>
              </w:rPr>
              <w:t>evalvacijski</w:t>
            </w:r>
            <w:proofErr w:type="spellEnd"/>
            <w:r w:rsidRPr="00E525AF">
              <w:rPr>
                <w:rFonts w:ascii="Verdana" w:eastAsia="Times New Roman" w:hAnsi="Verdana" w:cs="Times New Roman"/>
                <w:color w:val="000000"/>
                <w:sz w:val="20"/>
                <w:szCs w:val="20"/>
                <w:lang w:eastAsia="sl-SI"/>
              </w:rPr>
              <w:t xml:space="preserve"> postopki bodo določeni v novem zakonu in ne bodo več del določb ZViS.</w:t>
            </w:r>
          </w:p>
        </w:tc>
        <w:tc>
          <w:tcPr>
            <w:tcW w:w="1276" w:type="dxa"/>
            <w:hideMark/>
          </w:tcPr>
          <w:p w14:paraId="3A243C6C"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NE</w:t>
            </w:r>
            <w:r>
              <w:rPr>
                <w:rFonts w:ascii="Verdana" w:eastAsia="Times New Roman" w:hAnsi="Verdana" w:cs="Times New Roman"/>
                <w:color w:val="000000"/>
                <w:sz w:val="20"/>
                <w:szCs w:val="20"/>
                <w:lang w:eastAsia="sl-SI"/>
              </w:rPr>
              <w:t>; novi datum 31. 1. 2019</w:t>
            </w:r>
          </w:p>
        </w:tc>
        <w:tc>
          <w:tcPr>
            <w:tcW w:w="851" w:type="dxa"/>
            <w:hideMark/>
          </w:tcPr>
          <w:p w14:paraId="1B2ED454"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b</w:t>
            </w:r>
          </w:p>
        </w:tc>
        <w:tc>
          <w:tcPr>
            <w:tcW w:w="1134" w:type="dxa"/>
            <w:hideMark/>
          </w:tcPr>
          <w:p w14:paraId="6E944CDD"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c>
          <w:tcPr>
            <w:tcW w:w="992" w:type="dxa"/>
            <w:hideMark/>
          </w:tcPr>
          <w:p w14:paraId="4A55BCE3"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r>
      <w:tr w:rsidR="00406A3D" w:rsidRPr="00E525AF" w14:paraId="40B65562" w14:textId="77777777" w:rsidTr="00406A3D">
        <w:trPr>
          <w:trHeight w:val="765"/>
        </w:trPr>
        <w:tc>
          <w:tcPr>
            <w:tcW w:w="2694" w:type="dxa"/>
            <w:hideMark/>
          </w:tcPr>
          <w:p w14:paraId="5AE55E64"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Sprememba sistemizacije (pogodbe o zaposlitvi)</w:t>
            </w:r>
          </w:p>
        </w:tc>
        <w:tc>
          <w:tcPr>
            <w:tcW w:w="2976" w:type="dxa"/>
            <w:hideMark/>
          </w:tcPr>
          <w:p w14:paraId="2C62F86C"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Sprememba akta o sistemizaciji ob upoštevanju reorganizacije dela agencije. Izračun posledic spremembe akta o sistemizaciji in vnos v Mferac.</w:t>
            </w:r>
          </w:p>
        </w:tc>
        <w:tc>
          <w:tcPr>
            <w:tcW w:w="1276" w:type="dxa"/>
            <w:hideMark/>
          </w:tcPr>
          <w:p w14:paraId="6BE115C2"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hideMark/>
          </w:tcPr>
          <w:p w14:paraId="350C9B1A"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g</w:t>
            </w:r>
          </w:p>
        </w:tc>
        <w:tc>
          <w:tcPr>
            <w:tcW w:w="1134" w:type="dxa"/>
            <w:hideMark/>
          </w:tcPr>
          <w:p w14:paraId="3FA71660"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w:t>
            </w:r>
          </w:p>
        </w:tc>
        <w:tc>
          <w:tcPr>
            <w:tcW w:w="992" w:type="dxa"/>
            <w:hideMark/>
          </w:tcPr>
          <w:p w14:paraId="08124A3A"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r>
      <w:tr w:rsidR="00406A3D" w:rsidRPr="00E525AF" w14:paraId="28C8E9AB" w14:textId="77777777" w:rsidTr="00406A3D">
        <w:trPr>
          <w:trHeight w:val="300"/>
        </w:trPr>
        <w:tc>
          <w:tcPr>
            <w:tcW w:w="2694" w:type="dxa"/>
            <w:hideMark/>
          </w:tcPr>
          <w:p w14:paraId="2DF660ED"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Pravilnik o zavarovanju osebnih podatkov</w:t>
            </w:r>
          </w:p>
        </w:tc>
        <w:tc>
          <w:tcPr>
            <w:tcW w:w="2976" w:type="dxa"/>
            <w:hideMark/>
          </w:tcPr>
          <w:p w14:paraId="5FF13325"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 xml:space="preserve">Sprememba ob upoštevanju nove uredbe. </w:t>
            </w:r>
          </w:p>
        </w:tc>
        <w:tc>
          <w:tcPr>
            <w:tcW w:w="1276" w:type="dxa"/>
            <w:hideMark/>
          </w:tcPr>
          <w:p w14:paraId="4344047B"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w:t>
            </w:r>
            <w:r>
              <w:rPr>
                <w:rFonts w:ascii="Verdana" w:eastAsia="Times New Roman" w:hAnsi="Verdana" w:cs="Times New Roman"/>
                <w:color w:val="000000"/>
                <w:sz w:val="20"/>
                <w:szCs w:val="20"/>
                <w:lang w:eastAsia="sl-SI"/>
              </w:rPr>
              <w:t>A</w:t>
            </w:r>
          </w:p>
        </w:tc>
        <w:tc>
          <w:tcPr>
            <w:tcW w:w="851" w:type="dxa"/>
            <w:hideMark/>
          </w:tcPr>
          <w:p w14:paraId="236CCE0F"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w:t>
            </w:r>
          </w:p>
        </w:tc>
        <w:tc>
          <w:tcPr>
            <w:tcW w:w="1134" w:type="dxa"/>
            <w:hideMark/>
          </w:tcPr>
          <w:p w14:paraId="2029D417"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w:t>
            </w:r>
          </w:p>
        </w:tc>
        <w:tc>
          <w:tcPr>
            <w:tcW w:w="992" w:type="dxa"/>
            <w:hideMark/>
          </w:tcPr>
          <w:p w14:paraId="7FBA4A7F"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r>
      <w:tr w:rsidR="00406A3D" w:rsidRPr="00E525AF" w14:paraId="29AF2B3C" w14:textId="77777777" w:rsidTr="00406A3D">
        <w:trPr>
          <w:trHeight w:val="765"/>
        </w:trPr>
        <w:tc>
          <w:tcPr>
            <w:tcW w:w="2694" w:type="dxa"/>
            <w:hideMark/>
          </w:tcPr>
          <w:p w14:paraId="3EB8FE71"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Uskladitev vodenja osebnih podatkov skladno z GDPR</w:t>
            </w:r>
          </w:p>
        </w:tc>
        <w:tc>
          <w:tcPr>
            <w:tcW w:w="2976" w:type="dxa"/>
            <w:hideMark/>
          </w:tcPr>
          <w:p w14:paraId="5A060D2A"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 xml:space="preserve">Ureditev evidenc, podatkov in listin agencije skladno z zahtevami nove Splošne uredbe o varstvu osebnih </w:t>
            </w:r>
            <w:r w:rsidRPr="00E525AF">
              <w:rPr>
                <w:rFonts w:ascii="Verdana" w:eastAsia="Times New Roman" w:hAnsi="Verdana" w:cs="Times New Roman"/>
                <w:color w:val="000000"/>
                <w:sz w:val="20"/>
                <w:szCs w:val="20"/>
                <w:lang w:eastAsia="sl-SI"/>
              </w:rPr>
              <w:lastRenderedPageBreak/>
              <w:t>podatkov.</w:t>
            </w:r>
          </w:p>
        </w:tc>
        <w:tc>
          <w:tcPr>
            <w:tcW w:w="1276" w:type="dxa"/>
            <w:hideMark/>
          </w:tcPr>
          <w:p w14:paraId="3533F57A"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lastRenderedPageBreak/>
              <w:t>NE</w:t>
            </w:r>
            <w:r>
              <w:rPr>
                <w:rFonts w:ascii="Verdana" w:eastAsia="Times New Roman" w:hAnsi="Verdana" w:cs="Times New Roman"/>
                <w:color w:val="000000"/>
                <w:sz w:val="20"/>
                <w:szCs w:val="20"/>
                <w:lang w:eastAsia="sl-SI"/>
              </w:rPr>
              <w:t>; novi datum 30. 4. 2019</w:t>
            </w:r>
          </w:p>
        </w:tc>
        <w:tc>
          <w:tcPr>
            <w:tcW w:w="851" w:type="dxa"/>
            <w:hideMark/>
          </w:tcPr>
          <w:p w14:paraId="255D0E68"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c>
          <w:tcPr>
            <w:tcW w:w="1134" w:type="dxa"/>
            <w:hideMark/>
          </w:tcPr>
          <w:p w14:paraId="7DFE7163"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b</w:t>
            </w:r>
          </w:p>
        </w:tc>
        <w:tc>
          <w:tcPr>
            <w:tcW w:w="992" w:type="dxa"/>
            <w:hideMark/>
          </w:tcPr>
          <w:p w14:paraId="2550D95A"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b</w:t>
            </w:r>
          </w:p>
        </w:tc>
      </w:tr>
      <w:tr w:rsidR="00F40383" w:rsidRPr="00E525AF" w14:paraId="5CFF52F3" w14:textId="77777777" w:rsidTr="00580769">
        <w:trPr>
          <w:trHeight w:val="300"/>
        </w:trPr>
        <w:tc>
          <w:tcPr>
            <w:tcW w:w="9923" w:type="dxa"/>
            <w:gridSpan w:val="6"/>
            <w:shd w:val="clear" w:color="auto" w:fill="E5B8B7" w:themeFill="accent2" w:themeFillTint="66"/>
            <w:hideMark/>
          </w:tcPr>
          <w:p w14:paraId="66CB53B6" w14:textId="77777777" w:rsidR="00F40383" w:rsidRDefault="00F40383" w:rsidP="00406A3D">
            <w:pPr>
              <w:rPr>
                <w:rFonts w:ascii="Verdana" w:eastAsia="Times New Roman" w:hAnsi="Verdana" w:cs="Times New Roman"/>
                <w:b/>
                <w:bCs/>
                <w:color w:val="000000"/>
                <w:sz w:val="20"/>
                <w:szCs w:val="20"/>
                <w:lang w:eastAsia="sl-SI"/>
              </w:rPr>
            </w:pPr>
          </w:p>
          <w:p w14:paraId="73B0F59C" w14:textId="77777777" w:rsidR="00F40383" w:rsidRPr="00E525AF" w:rsidRDefault="00F40383" w:rsidP="00406A3D">
            <w:pPr>
              <w:rPr>
                <w:rFonts w:ascii="Verdana" w:eastAsia="Times New Roman" w:hAnsi="Verdana" w:cs="Times New Roman"/>
                <w:b/>
                <w:bCs/>
                <w:color w:val="000000"/>
                <w:sz w:val="20"/>
                <w:szCs w:val="20"/>
                <w:lang w:eastAsia="sl-SI"/>
              </w:rPr>
            </w:pPr>
            <w:r w:rsidRPr="00E525AF">
              <w:rPr>
                <w:rFonts w:ascii="Verdana" w:eastAsia="Times New Roman" w:hAnsi="Verdana" w:cs="Times New Roman"/>
                <w:b/>
                <w:bCs/>
                <w:color w:val="000000"/>
                <w:sz w:val="20"/>
                <w:szCs w:val="20"/>
                <w:lang w:eastAsia="sl-SI"/>
              </w:rPr>
              <w:t xml:space="preserve">Pomoč pri izvajanju dejavnosti s področja zagotavljanja kakovosti </w:t>
            </w:r>
          </w:p>
          <w:p w14:paraId="6F279801" w14:textId="06B8A03D" w:rsidR="00F40383" w:rsidRPr="00E525AF" w:rsidRDefault="00F40383" w:rsidP="00406A3D">
            <w:pPr>
              <w:rPr>
                <w:rFonts w:ascii="Verdana" w:eastAsia="Times New Roman" w:hAnsi="Verdana" w:cs="Times New Roman"/>
                <w:b/>
                <w:bCs/>
                <w:color w:val="000000"/>
                <w:sz w:val="20"/>
                <w:szCs w:val="20"/>
                <w:lang w:eastAsia="sl-SI"/>
              </w:rPr>
            </w:pPr>
            <w:r w:rsidRPr="00E525AF">
              <w:rPr>
                <w:rFonts w:ascii="Verdana" w:eastAsia="Times New Roman" w:hAnsi="Verdana" w:cs="Times New Roman"/>
                <w:b/>
                <w:bCs/>
                <w:color w:val="000000"/>
                <w:sz w:val="20"/>
                <w:szCs w:val="20"/>
                <w:lang w:eastAsia="sl-SI"/>
              </w:rPr>
              <w:t> </w:t>
            </w:r>
          </w:p>
        </w:tc>
      </w:tr>
      <w:tr w:rsidR="00406A3D" w:rsidRPr="00E525AF" w14:paraId="1684F7A8" w14:textId="77777777" w:rsidTr="00406A3D">
        <w:trPr>
          <w:trHeight w:val="510"/>
        </w:trPr>
        <w:tc>
          <w:tcPr>
            <w:tcW w:w="2694" w:type="dxa"/>
            <w:hideMark/>
          </w:tcPr>
          <w:p w14:paraId="4A1E2665"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 xml:space="preserve">Priprava osnutkov odločb, sklepov ter avtorskih pogodb za podaljšanje akreditacije visokošolskega zavoda </w:t>
            </w:r>
          </w:p>
        </w:tc>
        <w:tc>
          <w:tcPr>
            <w:tcW w:w="2976" w:type="dxa"/>
            <w:hideMark/>
          </w:tcPr>
          <w:p w14:paraId="01B3BCAC"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Posodobitev ob upoštevanju novih meril.</w:t>
            </w:r>
          </w:p>
        </w:tc>
        <w:tc>
          <w:tcPr>
            <w:tcW w:w="1276" w:type="dxa"/>
            <w:hideMark/>
          </w:tcPr>
          <w:p w14:paraId="6759CD00"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hideMark/>
          </w:tcPr>
          <w:p w14:paraId="7B1A73E2"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c>
          <w:tcPr>
            <w:tcW w:w="1134" w:type="dxa"/>
            <w:hideMark/>
          </w:tcPr>
          <w:p w14:paraId="40DC91BF"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c>
          <w:tcPr>
            <w:tcW w:w="992" w:type="dxa"/>
            <w:hideMark/>
          </w:tcPr>
          <w:p w14:paraId="68D034C2"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r>
      <w:tr w:rsidR="00406A3D" w:rsidRPr="00E525AF" w14:paraId="3FC3E3AE" w14:textId="77777777" w:rsidTr="00406A3D">
        <w:trPr>
          <w:trHeight w:val="765"/>
        </w:trPr>
        <w:tc>
          <w:tcPr>
            <w:tcW w:w="2694" w:type="dxa"/>
            <w:hideMark/>
          </w:tcPr>
          <w:p w14:paraId="061DA135"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Pravno mnenje glede akreditacije članice univerze</w:t>
            </w:r>
          </w:p>
        </w:tc>
        <w:tc>
          <w:tcPr>
            <w:tcW w:w="2976" w:type="dxa"/>
            <w:hideMark/>
          </w:tcPr>
          <w:p w14:paraId="39BE1212"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Preučitev zakonodaje glede možnosti akreditacije posamezne članice javne univerze in priprava pravnega mnenja.</w:t>
            </w:r>
          </w:p>
        </w:tc>
        <w:tc>
          <w:tcPr>
            <w:tcW w:w="1276" w:type="dxa"/>
            <w:hideMark/>
          </w:tcPr>
          <w:p w14:paraId="4BC80FA2"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hideMark/>
          </w:tcPr>
          <w:p w14:paraId="550CA48C"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b</w:t>
            </w:r>
          </w:p>
        </w:tc>
        <w:tc>
          <w:tcPr>
            <w:tcW w:w="1134" w:type="dxa"/>
            <w:hideMark/>
          </w:tcPr>
          <w:p w14:paraId="611181DF"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c>
          <w:tcPr>
            <w:tcW w:w="992" w:type="dxa"/>
            <w:hideMark/>
          </w:tcPr>
          <w:p w14:paraId="77B0413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r>
      <w:tr w:rsidR="00F40383" w:rsidRPr="00E525AF" w14:paraId="564ADBF8" w14:textId="77777777" w:rsidTr="00580769">
        <w:trPr>
          <w:trHeight w:val="300"/>
        </w:trPr>
        <w:tc>
          <w:tcPr>
            <w:tcW w:w="9923" w:type="dxa"/>
            <w:gridSpan w:val="6"/>
            <w:shd w:val="clear" w:color="auto" w:fill="E5B8B7" w:themeFill="accent2" w:themeFillTint="66"/>
            <w:hideMark/>
          </w:tcPr>
          <w:p w14:paraId="406E2B5D" w14:textId="77777777" w:rsidR="00F40383" w:rsidRDefault="00F40383" w:rsidP="00406A3D">
            <w:pPr>
              <w:rPr>
                <w:rFonts w:ascii="Verdana" w:eastAsia="Times New Roman" w:hAnsi="Verdana" w:cs="Times New Roman"/>
                <w:b/>
                <w:bCs/>
                <w:color w:val="000000"/>
                <w:sz w:val="20"/>
                <w:szCs w:val="20"/>
                <w:lang w:eastAsia="sl-SI"/>
              </w:rPr>
            </w:pPr>
          </w:p>
          <w:p w14:paraId="382A0E2A" w14:textId="77777777" w:rsidR="00F40383" w:rsidRPr="00E525AF" w:rsidRDefault="00F40383" w:rsidP="00406A3D">
            <w:pPr>
              <w:rPr>
                <w:rFonts w:ascii="Verdana" w:eastAsia="Times New Roman" w:hAnsi="Verdana" w:cs="Times New Roman"/>
                <w:b/>
                <w:bCs/>
                <w:color w:val="000000"/>
                <w:sz w:val="20"/>
                <w:szCs w:val="20"/>
                <w:lang w:eastAsia="sl-SI"/>
              </w:rPr>
            </w:pPr>
            <w:r w:rsidRPr="00E525AF">
              <w:rPr>
                <w:rFonts w:ascii="Verdana" w:eastAsia="Times New Roman" w:hAnsi="Verdana" w:cs="Times New Roman"/>
                <w:b/>
                <w:bCs/>
                <w:color w:val="000000"/>
                <w:sz w:val="20"/>
                <w:szCs w:val="20"/>
                <w:lang w:eastAsia="sl-SI"/>
              </w:rPr>
              <w:t xml:space="preserve">Finančne in kadrovske zadeve </w:t>
            </w:r>
          </w:p>
          <w:p w14:paraId="7FE383F9" w14:textId="45057475" w:rsidR="00F40383" w:rsidRPr="00E525AF" w:rsidRDefault="00F40383" w:rsidP="00406A3D">
            <w:pPr>
              <w:rPr>
                <w:rFonts w:ascii="Verdana" w:eastAsia="Times New Roman" w:hAnsi="Verdana" w:cs="Times New Roman"/>
                <w:b/>
                <w:bCs/>
                <w:color w:val="000000"/>
                <w:sz w:val="20"/>
                <w:szCs w:val="20"/>
                <w:lang w:eastAsia="sl-SI"/>
              </w:rPr>
            </w:pPr>
            <w:r w:rsidRPr="00E525AF">
              <w:rPr>
                <w:rFonts w:ascii="Verdana" w:eastAsia="Times New Roman" w:hAnsi="Verdana" w:cs="Times New Roman"/>
                <w:b/>
                <w:bCs/>
                <w:color w:val="000000"/>
                <w:sz w:val="20"/>
                <w:szCs w:val="20"/>
                <w:lang w:eastAsia="sl-SI"/>
              </w:rPr>
              <w:t> </w:t>
            </w:r>
          </w:p>
        </w:tc>
      </w:tr>
      <w:tr w:rsidR="00406A3D" w:rsidRPr="00E525AF" w14:paraId="2E99B56C" w14:textId="77777777" w:rsidTr="00406A3D">
        <w:trPr>
          <w:trHeight w:val="510"/>
        </w:trPr>
        <w:tc>
          <w:tcPr>
            <w:tcW w:w="2694" w:type="dxa"/>
            <w:hideMark/>
          </w:tcPr>
          <w:p w14:paraId="10E5A452"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Zaposlitev novega sodelavca s področja informatike</w:t>
            </w:r>
          </w:p>
        </w:tc>
        <w:tc>
          <w:tcPr>
            <w:tcW w:w="2976" w:type="dxa"/>
            <w:hideMark/>
          </w:tcPr>
          <w:p w14:paraId="54DD8E7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Izpeljava postopka izbire in zaposlitve  priprava pogodbe o zaposlitvi, vnos v Mferac).</w:t>
            </w:r>
          </w:p>
        </w:tc>
        <w:tc>
          <w:tcPr>
            <w:tcW w:w="1276" w:type="dxa"/>
            <w:hideMark/>
          </w:tcPr>
          <w:p w14:paraId="52B05429"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hideMark/>
          </w:tcPr>
          <w:p w14:paraId="5199814F"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g</w:t>
            </w:r>
          </w:p>
        </w:tc>
        <w:tc>
          <w:tcPr>
            <w:tcW w:w="1134" w:type="dxa"/>
            <w:hideMark/>
          </w:tcPr>
          <w:p w14:paraId="09029A6E"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e</w:t>
            </w:r>
          </w:p>
        </w:tc>
        <w:tc>
          <w:tcPr>
            <w:tcW w:w="992" w:type="dxa"/>
            <w:hideMark/>
          </w:tcPr>
          <w:p w14:paraId="43EB2290"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r>
      <w:tr w:rsidR="00406A3D" w:rsidRPr="00E525AF" w14:paraId="14C92CB9" w14:textId="77777777" w:rsidTr="00406A3D">
        <w:trPr>
          <w:trHeight w:val="510"/>
        </w:trPr>
        <w:tc>
          <w:tcPr>
            <w:tcW w:w="2694" w:type="dxa"/>
            <w:hideMark/>
          </w:tcPr>
          <w:p w14:paraId="59D1B22C"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Načrt razvoja kadrov</w:t>
            </w:r>
          </w:p>
        </w:tc>
        <w:tc>
          <w:tcPr>
            <w:tcW w:w="2976" w:type="dxa"/>
            <w:hideMark/>
          </w:tcPr>
          <w:p w14:paraId="5CAD15D4"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Priprava strateškega načrta razvoja kadrov v agenciji.</w:t>
            </w:r>
          </w:p>
        </w:tc>
        <w:tc>
          <w:tcPr>
            <w:tcW w:w="1276" w:type="dxa"/>
            <w:hideMark/>
          </w:tcPr>
          <w:p w14:paraId="772B49AB"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hideMark/>
          </w:tcPr>
          <w:p w14:paraId="52B6154A"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c>
          <w:tcPr>
            <w:tcW w:w="1134" w:type="dxa"/>
            <w:hideMark/>
          </w:tcPr>
          <w:p w14:paraId="2E5B8E94"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w:t>
            </w:r>
          </w:p>
        </w:tc>
        <w:tc>
          <w:tcPr>
            <w:tcW w:w="992" w:type="dxa"/>
            <w:hideMark/>
          </w:tcPr>
          <w:p w14:paraId="09797D50"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r>
      <w:tr w:rsidR="00406A3D" w:rsidRPr="00E525AF" w14:paraId="0BFDC80B" w14:textId="77777777" w:rsidTr="00406A3D">
        <w:trPr>
          <w:trHeight w:val="510"/>
        </w:trPr>
        <w:tc>
          <w:tcPr>
            <w:tcW w:w="2694" w:type="dxa"/>
            <w:hideMark/>
          </w:tcPr>
          <w:p w14:paraId="04C573B3"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Javni poziv za člane pritožbene komisije</w:t>
            </w:r>
          </w:p>
        </w:tc>
        <w:tc>
          <w:tcPr>
            <w:tcW w:w="2976" w:type="dxa"/>
            <w:hideMark/>
          </w:tcPr>
          <w:p w14:paraId="25F4603D"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Zagotovitev popolnosti prijav,  sodelovanje v komisiji za izbiro,</w:t>
            </w:r>
            <w:r w:rsidRPr="00E525AF">
              <w:rPr>
                <w:rFonts w:ascii="Verdana" w:eastAsia="Times New Roman" w:hAnsi="Verdana" w:cs="Times New Roman"/>
                <w:b/>
                <w:bCs/>
                <w:color w:val="000000"/>
                <w:sz w:val="20"/>
                <w:szCs w:val="20"/>
                <w:lang w:eastAsia="sl-SI"/>
              </w:rPr>
              <w:t xml:space="preserve"> </w:t>
            </w:r>
            <w:r w:rsidRPr="00E525AF">
              <w:rPr>
                <w:rFonts w:ascii="Verdana" w:eastAsia="Times New Roman" w:hAnsi="Verdana" w:cs="Times New Roman"/>
                <w:color w:val="000000"/>
                <w:sz w:val="20"/>
                <w:szCs w:val="20"/>
                <w:lang w:eastAsia="sl-SI"/>
              </w:rPr>
              <w:t>priprava dokumentov.</w:t>
            </w:r>
          </w:p>
        </w:tc>
        <w:tc>
          <w:tcPr>
            <w:tcW w:w="1276" w:type="dxa"/>
            <w:hideMark/>
          </w:tcPr>
          <w:p w14:paraId="2B1CBF35"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hideMark/>
          </w:tcPr>
          <w:p w14:paraId="08E00CD4"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b</w:t>
            </w:r>
          </w:p>
        </w:tc>
        <w:tc>
          <w:tcPr>
            <w:tcW w:w="1134" w:type="dxa"/>
            <w:hideMark/>
          </w:tcPr>
          <w:p w14:paraId="1658D9D0"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c</w:t>
            </w:r>
          </w:p>
        </w:tc>
        <w:tc>
          <w:tcPr>
            <w:tcW w:w="992" w:type="dxa"/>
            <w:hideMark/>
          </w:tcPr>
          <w:p w14:paraId="69A8CE43"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r>
      <w:tr w:rsidR="00406A3D" w:rsidRPr="00E525AF" w14:paraId="558B7BD3" w14:textId="77777777" w:rsidTr="00406A3D">
        <w:trPr>
          <w:trHeight w:val="300"/>
        </w:trPr>
        <w:tc>
          <w:tcPr>
            <w:tcW w:w="2694" w:type="dxa"/>
            <w:hideMark/>
          </w:tcPr>
          <w:p w14:paraId="21F01076"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Priprava načrta investicij agencije - del programa za 2019</w:t>
            </w:r>
          </w:p>
        </w:tc>
        <w:tc>
          <w:tcPr>
            <w:tcW w:w="2976" w:type="dxa"/>
            <w:hideMark/>
          </w:tcPr>
          <w:p w14:paraId="11B436C4"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Študij, planiranje investiciji in izdelava načrta.</w:t>
            </w:r>
          </w:p>
        </w:tc>
        <w:tc>
          <w:tcPr>
            <w:tcW w:w="1276" w:type="dxa"/>
            <w:hideMark/>
          </w:tcPr>
          <w:p w14:paraId="49A5C403"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DA</w:t>
            </w:r>
          </w:p>
        </w:tc>
        <w:tc>
          <w:tcPr>
            <w:tcW w:w="851" w:type="dxa"/>
            <w:hideMark/>
          </w:tcPr>
          <w:p w14:paraId="775D7383"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c>
          <w:tcPr>
            <w:tcW w:w="1134" w:type="dxa"/>
            <w:hideMark/>
          </w:tcPr>
          <w:p w14:paraId="57257348"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b</w:t>
            </w:r>
          </w:p>
        </w:tc>
        <w:tc>
          <w:tcPr>
            <w:tcW w:w="992" w:type="dxa"/>
            <w:hideMark/>
          </w:tcPr>
          <w:p w14:paraId="52C47363"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r>
      <w:tr w:rsidR="00406A3D" w:rsidRPr="00E525AF" w14:paraId="7571106D" w14:textId="77777777" w:rsidTr="00406A3D">
        <w:trPr>
          <w:trHeight w:val="510"/>
        </w:trPr>
        <w:tc>
          <w:tcPr>
            <w:tcW w:w="2694" w:type="dxa"/>
            <w:hideMark/>
          </w:tcPr>
          <w:p w14:paraId="631A25D7"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Priprava podlag za izvedbo notranje revizije agencije</w:t>
            </w:r>
          </w:p>
        </w:tc>
        <w:tc>
          <w:tcPr>
            <w:tcW w:w="2976" w:type="dxa"/>
            <w:hideMark/>
          </w:tcPr>
          <w:p w14:paraId="7D2AA149"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Priprava dokumentov, pridobitev ponudb za izvajalca notranje revizije, sodelovanje pri izvedbi.</w:t>
            </w:r>
          </w:p>
        </w:tc>
        <w:tc>
          <w:tcPr>
            <w:tcW w:w="1276" w:type="dxa"/>
            <w:hideMark/>
          </w:tcPr>
          <w:p w14:paraId="677A7B35"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NE</w:t>
            </w:r>
            <w:r>
              <w:rPr>
                <w:rFonts w:ascii="Verdana" w:eastAsia="Times New Roman" w:hAnsi="Verdana" w:cs="Times New Roman"/>
                <w:color w:val="000000"/>
                <w:sz w:val="20"/>
                <w:szCs w:val="20"/>
                <w:lang w:eastAsia="sl-SI"/>
              </w:rPr>
              <w:t>; novi datum 30. 9. 2019</w:t>
            </w:r>
          </w:p>
        </w:tc>
        <w:tc>
          <w:tcPr>
            <w:tcW w:w="851" w:type="dxa"/>
            <w:hideMark/>
          </w:tcPr>
          <w:p w14:paraId="60D58CAC"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c>
          <w:tcPr>
            <w:tcW w:w="1134" w:type="dxa"/>
            <w:hideMark/>
          </w:tcPr>
          <w:p w14:paraId="7B829C51"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b</w:t>
            </w:r>
          </w:p>
        </w:tc>
        <w:tc>
          <w:tcPr>
            <w:tcW w:w="992" w:type="dxa"/>
            <w:hideMark/>
          </w:tcPr>
          <w:p w14:paraId="5CB3B69A" w14:textId="77777777" w:rsidR="00406A3D" w:rsidRPr="00E525AF" w:rsidRDefault="00406A3D" w:rsidP="00406A3D">
            <w:pPr>
              <w:rPr>
                <w:rFonts w:ascii="Verdana" w:eastAsia="Times New Roman" w:hAnsi="Verdana" w:cs="Times New Roman"/>
                <w:color w:val="000000"/>
                <w:sz w:val="20"/>
                <w:szCs w:val="20"/>
                <w:lang w:eastAsia="sl-SI"/>
              </w:rPr>
            </w:pPr>
            <w:r w:rsidRPr="00E525AF">
              <w:rPr>
                <w:rFonts w:ascii="Verdana" w:eastAsia="Times New Roman" w:hAnsi="Verdana" w:cs="Times New Roman"/>
                <w:color w:val="000000"/>
                <w:sz w:val="20"/>
                <w:szCs w:val="20"/>
                <w:lang w:eastAsia="sl-SI"/>
              </w:rPr>
              <w:t>a</w:t>
            </w:r>
          </w:p>
        </w:tc>
      </w:tr>
    </w:tbl>
    <w:p w14:paraId="0D9027AD" w14:textId="77777777" w:rsidR="00406A3D" w:rsidRDefault="00406A3D" w:rsidP="00406A3D"/>
    <w:p w14:paraId="6E4ED7E9" w14:textId="77777777" w:rsidR="00406A3D" w:rsidRPr="0056521F" w:rsidRDefault="00406A3D" w:rsidP="0056521F">
      <w:pPr>
        <w:pStyle w:val="Podnaslov"/>
        <w:rPr>
          <w:rFonts w:ascii="Verdana" w:hAnsi="Verdana"/>
          <w:b/>
          <w:color w:val="auto"/>
        </w:rPr>
      </w:pPr>
      <w:r w:rsidRPr="0056521F">
        <w:rPr>
          <w:rFonts w:ascii="Verdana" w:hAnsi="Verdana"/>
          <w:b/>
          <w:color w:val="auto"/>
        </w:rPr>
        <w:t>Pojasnila k pregledu opravljenih nalog</w:t>
      </w:r>
    </w:p>
    <w:p w14:paraId="4F0B226F" w14:textId="77777777" w:rsidR="00B10B3D" w:rsidRDefault="00406A3D" w:rsidP="000663EE">
      <w:pPr>
        <w:jc w:val="both"/>
        <w:rPr>
          <w:rFonts w:ascii="Verdana" w:hAnsi="Verdana"/>
        </w:rPr>
      </w:pPr>
      <w:r w:rsidRPr="00233F6D">
        <w:rPr>
          <w:rFonts w:ascii="Verdana" w:hAnsi="Verdana"/>
        </w:rPr>
        <w:t>Sektor za splošne zadeve je imel v drugi polovici leta 2018 veliko dela v povezavi z reorganizacijo dela agencije, pa tudi z zunanjo evalvacijo agencije.</w:t>
      </w:r>
      <w:r w:rsidR="00806BC8">
        <w:rPr>
          <w:rFonts w:ascii="Verdana" w:hAnsi="Verdana"/>
        </w:rPr>
        <w:t xml:space="preserve"> </w:t>
      </w:r>
      <w:r w:rsidRPr="00233F6D">
        <w:rPr>
          <w:rFonts w:ascii="Verdana" w:hAnsi="Verdana"/>
        </w:rPr>
        <w:t>Na delovnem področju</w:t>
      </w:r>
      <w:r>
        <w:rPr>
          <w:rFonts w:ascii="Verdana" w:hAnsi="Verdana"/>
          <w:b/>
        </w:rPr>
        <w:t xml:space="preserve"> zakonodaje in priprave notranjih pravnih aktov agencije </w:t>
      </w:r>
      <w:r w:rsidRPr="004B7C30">
        <w:rPr>
          <w:rFonts w:ascii="Verdana" w:hAnsi="Verdana"/>
        </w:rPr>
        <w:t>je moral</w:t>
      </w:r>
      <w:r>
        <w:rPr>
          <w:rFonts w:ascii="Verdana" w:hAnsi="Verdana"/>
          <w:b/>
        </w:rPr>
        <w:t xml:space="preserve"> </w:t>
      </w:r>
      <w:r w:rsidRPr="00B12D28">
        <w:rPr>
          <w:rFonts w:ascii="Verdana" w:hAnsi="Verdana"/>
        </w:rPr>
        <w:t>najprej</w:t>
      </w:r>
      <w:r>
        <w:rPr>
          <w:rFonts w:ascii="Verdana" w:hAnsi="Verdana"/>
        </w:rPr>
        <w:t xml:space="preserve"> pripraviti temeljito spremembo akta o sistemizaciji agencije,</w:t>
      </w:r>
      <w:r w:rsidR="00806BC8" w:rsidRPr="00806BC8">
        <w:rPr>
          <w:rFonts w:ascii="Verdana" w:hAnsi="Verdana"/>
        </w:rPr>
        <w:t xml:space="preserve"> </w:t>
      </w:r>
      <w:r w:rsidR="00806BC8">
        <w:rPr>
          <w:rFonts w:ascii="Verdana" w:hAnsi="Verdana"/>
        </w:rPr>
        <w:t>pri kateri je bilo treba upoštevati uvedbo vodij posameznih sektorjev,</w:t>
      </w:r>
      <w:r>
        <w:rPr>
          <w:rFonts w:ascii="Verdana" w:hAnsi="Verdana"/>
        </w:rPr>
        <w:t xml:space="preserve"> nove pogodbe o zaposlitvi za vse strokovne delavce agencije, izračun finančnih posledic sprememb; izvedel pa je tudi postopek za zaposlitev in zaposlitev nujno potrebnega novega strokovnega delavca – informatika v sektorju za analize, mednarodno sodelovanje in informatizacijo agencije. </w:t>
      </w:r>
    </w:p>
    <w:p w14:paraId="61BDEB19" w14:textId="7934D94F" w:rsidR="00406A3D" w:rsidRDefault="00406A3D" w:rsidP="00E314E4">
      <w:pPr>
        <w:jc w:val="both"/>
        <w:rPr>
          <w:rFonts w:ascii="Verdana" w:hAnsi="Verdana"/>
        </w:rPr>
      </w:pPr>
      <w:r>
        <w:rPr>
          <w:rFonts w:ascii="Verdana" w:hAnsi="Verdana"/>
        </w:rPr>
        <w:lastRenderedPageBreak/>
        <w:t xml:space="preserve">Druga nujna in kompleksna naloga je bila priprava pravilnika o zavarovanju osebnih podatkov v skladu z novo </w:t>
      </w:r>
      <w:r w:rsidRPr="00F257A4">
        <w:rPr>
          <w:rFonts w:ascii="Verdana" w:hAnsi="Verdana"/>
          <w:i/>
        </w:rPr>
        <w:t>Splošno uredbo o varstvu osebnih poda</w:t>
      </w:r>
      <w:r>
        <w:rPr>
          <w:rFonts w:ascii="Verdana" w:hAnsi="Verdana"/>
        </w:rPr>
        <w:t>tkov,</w:t>
      </w:r>
      <w:r w:rsidR="00806BC8" w:rsidRPr="00806BC8">
        <w:rPr>
          <w:rFonts w:ascii="Verdana" w:hAnsi="Verdana"/>
        </w:rPr>
        <w:t xml:space="preserve"> </w:t>
      </w:r>
      <w:r w:rsidR="00806BC8">
        <w:rPr>
          <w:rFonts w:ascii="Verdana" w:hAnsi="Verdana"/>
        </w:rPr>
        <w:t xml:space="preserve">priprava </w:t>
      </w:r>
      <w:r w:rsidR="00806BC8" w:rsidRPr="003C2A8E">
        <w:rPr>
          <w:rFonts w:ascii="Verdana" w:hAnsi="Verdana"/>
        </w:rPr>
        <w:t>evidenc dejavnosti obdelave, določitev pooblaščenih oseb z</w:t>
      </w:r>
      <w:r w:rsidR="00806BC8" w:rsidRPr="008D5F48">
        <w:rPr>
          <w:rFonts w:ascii="Verdana" w:hAnsi="Verdana"/>
        </w:rPr>
        <w:t xml:space="preserve">a obdelavo osebnih podatkov v posameznih evidencah obdelave, priprava izjav o seznanjenosti s pravili varstva osebnih podatkov za člane sveta agencije, strokovnjake, člane pritožbene komisije in </w:t>
      </w:r>
      <w:r w:rsidR="00806BC8">
        <w:rPr>
          <w:rFonts w:ascii="Verdana" w:hAnsi="Verdana"/>
        </w:rPr>
        <w:t xml:space="preserve">na </w:t>
      </w:r>
      <w:r w:rsidR="00806BC8" w:rsidRPr="008D5F48">
        <w:rPr>
          <w:rFonts w:ascii="Verdana" w:hAnsi="Verdana"/>
        </w:rPr>
        <w:t xml:space="preserve">novo zaposlene. Pravilnik velja za </w:t>
      </w:r>
      <w:r w:rsidR="00806BC8">
        <w:rPr>
          <w:rFonts w:ascii="Verdana" w:hAnsi="Verdana"/>
        </w:rPr>
        <w:t>z</w:t>
      </w:r>
      <w:r w:rsidR="00806BC8" w:rsidRPr="003C2A8E">
        <w:rPr>
          <w:rFonts w:ascii="Verdana" w:hAnsi="Verdana" w:cs="Tahoma"/>
          <w:spacing w:val="-3"/>
        </w:rPr>
        <w:t>aposlen</w:t>
      </w:r>
      <w:r w:rsidR="00806BC8">
        <w:rPr>
          <w:rFonts w:ascii="Verdana" w:hAnsi="Verdana" w:cs="Tahoma"/>
          <w:spacing w:val="-3"/>
        </w:rPr>
        <w:t xml:space="preserve">e in zunanje </w:t>
      </w:r>
      <w:r w:rsidR="00806BC8" w:rsidRPr="003C2A8E">
        <w:rPr>
          <w:rFonts w:ascii="Verdana" w:hAnsi="Verdana" w:cs="Tahoma"/>
          <w:spacing w:val="-3"/>
        </w:rPr>
        <w:t>sodelavc</w:t>
      </w:r>
      <w:r w:rsidR="00806BC8">
        <w:rPr>
          <w:rFonts w:ascii="Verdana" w:hAnsi="Verdana" w:cs="Tahoma"/>
          <w:spacing w:val="-3"/>
        </w:rPr>
        <w:t>e</w:t>
      </w:r>
      <w:r w:rsidR="00806BC8" w:rsidRPr="003C2A8E">
        <w:rPr>
          <w:rFonts w:ascii="Verdana" w:hAnsi="Verdana" w:cs="Tahoma"/>
          <w:spacing w:val="-3"/>
        </w:rPr>
        <w:t xml:space="preserve"> ter druge osebe, ki pri agenciji opravljajo delo in pri svojem delu obdelujejo in uporabljajo osebne podatke.</w:t>
      </w:r>
      <w:r w:rsidR="00806BC8" w:rsidRPr="003C2A8E">
        <w:rPr>
          <w:rFonts w:ascii="Verdana" w:hAnsi="Verdana"/>
        </w:rPr>
        <w:t xml:space="preserve"> </w:t>
      </w:r>
      <w:r>
        <w:rPr>
          <w:rFonts w:ascii="Verdana" w:hAnsi="Verdana"/>
        </w:rPr>
        <w:t xml:space="preserve">Pravilnik </w:t>
      </w:r>
      <w:r w:rsidR="00B87879">
        <w:rPr>
          <w:rFonts w:ascii="Verdana" w:hAnsi="Verdana"/>
        </w:rPr>
        <w:t xml:space="preserve">z dokumentacijo </w:t>
      </w:r>
      <w:r>
        <w:rPr>
          <w:rFonts w:ascii="Verdana" w:hAnsi="Verdana"/>
        </w:rPr>
        <w:t xml:space="preserve">je bil pripravljen do konca leta 2018, </w:t>
      </w:r>
      <w:r w:rsidR="00B87879">
        <w:rPr>
          <w:rFonts w:ascii="Verdana" w:hAnsi="Verdana"/>
        </w:rPr>
        <w:t xml:space="preserve">pred njegovim sprejemom je bilo potrebno usklajevanje predvsem s sektorjem za analize, mednarodno sodelovanje in informatizacijo agencije ter z zunanjo pooblaščeno osebo za varstvo podatkov. Uskladitev vodenja osebnih podatkov v skladu s predpisi se je zaradi drugih prednostnih nalog in njene kompleksnosti prestavila v leto 2019. </w:t>
      </w:r>
      <w:r w:rsidR="00B87879" w:rsidRPr="003C2A8E">
        <w:rPr>
          <w:rFonts w:ascii="Verdana" w:hAnsi="Verdana"/>
        </w:rPr>
        <w:t>Treba je namreč pregledati vse dokumente agencije (v fizični in elektronski</w:t>
      </w:r>
      <w:r w:rsidR="00B87879" w:rsidRPr="00B22C02">
        <w:rPr>
          <w:rFonts w:ascii="Verdana" w:hAnsi="Verdana"/>
        </w:rPr>
        <w:t xml:space="preserve"> obliki)</w:t>
      </w:r>
      <w:r w:rsidR="00B87879" w:rsidRPr="003C2A8E">
        <w:rPr>
          <w:rFonts w:ascii="Verdana" w:hAnsi="Verdana"/>
        </w:rPr>
        <w:t>, tudi že objavljene odločbe in poročila skupin strokovnjakov, iz katerih bo treba odstraniti osebne podatke, za katere ni podlage za njihovo obdelavo. Delo je zelo obširno in bo zahtevalo sodelovanje vseh zaposlenih na agenciji.</w:t>
      </w:r>
    </w:p>
    <w:p w14:paraId="4678933F" w14:textId="24C781BE" w:rsidR="00B87879" w:rsidRDefault="00406A3D" w:rsidP="00FF2DDC">
      <w:pPr>
        <w:jc w:val="both"/>
        <w:rPr>
          <w:rFonts w:ascii="Verdana" w:hAnsi="Verdana"/>
        </w:rPr>
      </w:pPr>
      <w:r>
        <w:rPr>
          <w:rFonts w:ascii="Verdana" w:hAnsi="Verdana"/>
        </w:rPr>
        <w:t xml:space="preserve">Prednostna naloga na tem področju je bila priprava osnutka novega zakona o agenciji do konca leta 2018. </w:t>
      </w:r>
      <w:r w:rsidR="00B87879">
        <w:rPr>
          <w:rFonts w:ascii="Verdana" w:hAnsi="Verdana"/>
        </w:rPr>
        <w:t>Osnutek novega zakona se je začel pripravljati, vendar je bil</w:t>
      </w:r>
      <w:r w:rsidR="00BC2666">
        <w:rPr>
          <w:rFonts w:ascii="Verdana" w:hAnsi="Verdana"/>
        </w:rPr>
        <w:t>o končanje te naloge</w:t>
      </w:r>
      <w:r w:rsidR="00B87879">
        <w:rPr>
          <w:rFonts w:ascii="Verdana" w:hAnsi="Verdana"/>
        </w:rPr>
        <w:t xml:space="preserve"> </w:t>
      </w:r>
      <w:r w:rsidR="00BC2666">
        <w:rPr>
          <w:rFonts w:ascii="Verdana" w:hAnsi="Verdana"/>
        </w:rPr>
        <w:t>v letu 2018 -</w:t>
      </w:r>
      <w:r w:rsidR="00B87879">
        <w:rPr>
          <w:rFonts w:ascii="Verdana" w:hAnsi="Verdana"/>
        </w:rPr>
        <w:t xml:space="preserve"> ob obilici drugih nalog, ki jih je opravil ta sektor</w:t>
      </w:r>
      <w:r w:rsidR="00BC2666">
        <w:rPr>
          <w:rFonts w:ascii="Verdana" w:hAnsi="Verdana"/>
        </w:rPr>
        <w:t xml:space="preserve"> -</w:t>
      </w:r>
      <w:r w:rsidR="00B87879">
        <w:rPr>
          <w:rFonts w:ascii="Verdana" w:hAnsi="Verdana"/>
        </w:rPr>
        <w:t xml:space="preserve"> zastavljen</w:t>
      </w:r>
      <w:r w:rsidR="00BC2666">
        <w:rPr>
          <w:rFonts w:ascii="Verdana" w:hAnsi="Verdana"/>
        </w:rPr>
        <w:t>o</w:t>
      </w:r>
      <w:r w:rsidR="00B87879">
        <w:rPr>
          <w:rFonts w:ascii="Verdana" w:hAnsi="Verdana"/>
        </w:rPr>
        <w:t xml:space="preserve"> preveč ambiciozno. Osnutek za prvo obravnavo bo mogoče predvidoma pripraviti konec januarja ali februarja 2019.</w:t>
      </w:r>
    </w:p>
    <w:p w14:paraId="4E22F1CE" w14:textId="77777777" w:rsidR="00ED097C" w:rsidRDefault="00406A3D" w:rsidP="00005B77">
      <w:pPr>
        <w:jc w:val="both"/>
        <w:rPr>
          <w:rFonts w:ascii="Verdana" w:eastAsia="Times New Roman" w:hAnsi="Verdana" w:cs="Times New Roman"/>
          <w:bCs/>
          <w:color w:val="000000"/>
          <w:lang w:eastAsia="sl-SI"/>
        </w:rPr>
      </w:pPr>
      <w:r w:rsidRPr="00303CA5">
        <w:rPr>
          <w:rFonts w:ascii="Verdana" w:hAnsi="Verdana"/>
        </w:rPr>
        <w:t xml:space="preserve">Na delovnem področju </w:t>
      </w:r>
      <w:r w:rsidRPr="00303CA5">
        <w:rPr>
          <w:rFonts w:ascii="Verdana" w:hAnsi="Verdana"/>
          <w:b/>
        </w:rPr>
        <w:t>p</w:t>
      </w:r>
      <w:r w:rsidRPr="00303CA5">
        <w:rPr>
          <w:rFonts w:ascii="Verdana" w:eastAsia="Times New Roman" w:hAnsi="Verdana" w:cs="Times New Roman"/>
          <w:b/>
          <w:bCs/>
          <w:color w:val="000000"/>
          <w:lang w:eastAsia="sl-SI"/>
        </w:rPr>
        <w:t>omoči pri izvajanju dejavnosti s področja zagotavljanja kakovosti</w:t>
      </w:r>
      <w:r>
        <w:rPr>
          <w:rFonts w:ascii="Verdana" w:eastAsia="Times New Roman" w:hAnsi="Verdana" w:cs="Times New Roman"/>
          <w:b/>
          <w:bCs/>
          <w:color w:val="000000"/>
          <w:lang w:eastAsia="sl-SI"/>
        </w:rPr>
        <w:t xml:space="preserve"> </w:t>
      </w:r>
      <w:r w:rsidRPr="001E07DE">
        <w:rPr>
          <w:rFonts w:ascii="Verdana" w:eastAsia="Times New Roman" w:hAnsi="Verdana" w:cs="Times New Roman"/>
          <w:bCs/>
          <w:color w:val="000000"/>
          <w:lang w:eastAsia="sl-SI"/>
        </w:rPr>
        <w:t xml:space="preserve">so bile </w:t>
      </w:r>
      <w:r>
        <w:rPr>
          <w:rFonts w:ascii="Verdana" w:eastAsia="Times New Roman" w:hAnsi="Verdana" w:cs="Times New Roman"/>
          <w:bCs/>
          <w:color w:val="000000"/>
          <w:lang w:eastAsia="sl-SI"/>
        </w:rPr>
        <w:t xml:space="preserve">v celoti </w:t>
      </w:r>
      <w:r w:rsidRPr="001E07DE">
        <w:rPr>
          <w:rFonts w:ascii="Verdana" w:eastAsia="Times New Roman" w:hAnsi="Verdana" w:cs="Times New Roman"/>
          <w:bCs/>
          <w:color w:val="000000"/>
          <w:lang w:eastAsia="sl-SI"/>
        </w:rPr>
        <w:t xml:space="preserve">opravljene </w:t>
      </w:r>
      <w:r>
        <w:rPr>
          <w:rFonts w:ascii="Verdana" w:eastAsia="Times New Roman" w:hAnsi="Verdana" w:cs="Times New Roman"/>
          <w:bCs/>
          <w:color w:val="000000"/>
          <w:lang w:eastAsia="sl-SI"/>
        </w:rPr>
        <w:t xml:space="preserve">vse naloge. </w:t>
      </w:r>
      <w:r w:rsidR="00B87879">
        <w:rPr>
          <w:rFonts w:ascii="Verdana" w:eastAsia="Times New Roman" w:hAnsi="Verdana" w:cs="Times New Roman"/>
          <w:bCs/>
          <w:color w:val="000000"/>
          <w:lang w:eastAsia="sl-SI"/>
        </w:rPr>
        <w:t>Pripravljeni so bili osnutki sklepov in odločb v postopkih akreditacije študijskih programov, prve akreditacije visokošolskih zavodov, podaljšanja akreditacije visokošolskih zavodov, akreditacije sprememb visokošolskih zavodov ter avtorske pogodbe in zahtevki za izplačila v zvezi s temi postopki. Sektor za splošne zadeve je</w:t>
      </w:r>
      <w:r w:rsidR="00A62249">
        <w:rPr>
          <w:rFonts w:ascii="Verdana" w:eastAsia="Times New Roman" w:hAnsi="Verdana" w:cs="Times New Roman"/>
          <w:bCs/>
          <w:color w:val="000000"/>
          <w:lang w:eastAsia="sl-SI"/>
        </w:rPr>
        <w:t xml:space="preserve"> poleg</w:t>
      </w:r>
      <w:r w:rsidR="00B87879">
        <w:rPr>
          <w:rFonts w:ascii="Verdana" w:eastAsia="Times New Roman" w:hAnsi="Verdana" w:cs="Times New Roman"/>
          <w:bCs/>
          <w:color w:val="000000"/>
          <w:lang w:eastAsia="sl-SI"/>
        </w:rPr>
        <w:t xml:space="preserve"> sodelova</w:t>
      </w:r>
      <w:r w:rsidR="00A62249">
        <w:rPr>
          <w:rFonts w:ascii="Verdana" w:eastAsia="Times New Roman" w:hAnsi="Verdana" w:cs="Times New Roman"/>
          <w:bCs/>
          <w:color w:val="000000"/>
          <w:lang w:eastAsia="sl-SI"/>
        </w:rPr>
        <w:t>nja</w:t>
      </w:r>
      <w:r w:rsidR="00B87879">
        <w:rPr>
          <w:rFonts w:ascii="Verdana" w:eastAsia="Times New Roman" w:hAnsi="Verdana" w:cs="Times New Roman"/>
          <w:bCs/>
          <w:color w:val="000000"/>
          <w:lang w:eastAsia="sl-SI"/>
        </w:rPr>
        <w:t xml:space="preserve"> pri pripravi predlogov sprememb </w:t>
      </w:r>
      <w:r w:rsidR="00A62249">
        <w:rPr>
          <w:rFonts w:ascii="Verdana" w:eastAsia="Times New Roman" w:hAnsi="Verdana" w:cs="Times New Roman"/>
          <w:bCs/>
          <w:color w:val="000000"/>
          <w:lang w:eastAsia="sl-SI"/>
        </w:rPr>
        <w:t xml:space="preserve">meril </w:t>
      </w:r>
      <w:r w:rsidR="00B87879" w:rsidRPr="001629DC">
        <w:rPr>
          <w:rFonts w:ascii="Verdana" w:eastAsia="Times New Roman" w:hAnsi="Verdana" w:cs="Times New Roman"/>
          <w:bCs/>
          <w:color w:val="000000"/>
          <w:lang w:eastAsia="sl-SI"/>
        </w:rPr>
        <w:t xml:space="preserve">pripravil osnutek postopka za pridobitev soglasja </w:t>
      </w:r>
      <w:r w:rsidR="00B87879" w:rsidRPr="001629DC">
        <w:rPr>
          <w:rFonts w:ascii="Verdana" w:hAnsi="Verdana"/>
        </w:rPr>
        <w:t>resornega ministrstva v postopku akreditacije študijskih programov, ki usposabljajo za regulirane poklice</w:t>
      </w:r>
      <w:r w:rsidR="00ED097C">
        <w:rPr>
          <w:rFonts w:ascii="Verdana" w:hAnsi="Verdana"/>
        </w:rPr>
        <w:t>. P</w:t>
      </w:r>
      <w:r w:rsidR="00B87879" w:rsidRPr="001629DC">
        <w:rPr>
          <w:rFonts w:ascii="Verdana" w:eastAsia="Times New Roman" w:hAnsi="Verdana" w:cs="Times New Roman"/>
          <w:bCs/>
          <w:color w:val="000000"/>
          <w:lang w:eastAsia="sl-SI"/>
        </w:rPr>
        <w:t>redstavljen</w:t>
      </w:r>
      <w:r w:rsidR="00B87879">
        <w:rPr>
          <w:rFonts w:ascii="Verdana" w:eastAsia="Times New Roman" w:hAnsi="Verdana" w:cs="Times New Roman"/>
          <w:bCs/>
          <w:color w:val="000000"/>
          <w:lang w:eastAsia="sl-SI"/>
        </w:rPr>
        <w:t xml:space="preserve"> </w:t>
      </w:r>
      <w:r w:rsidR="00ED097C">
        <w:rPr>
          <w:rFonts w:ascii="Verdana" w:eastAsia="Times New Roman" w:hAnsi="Verdana" w:cs="Times New Roman"/>
          <w:bCs/>
          <w:color w:val="000000"/>
          <w:lang w:eastAsia="sl-SI"/>
        </w:rPr>
        <w:t xml:space="preserve">je bil </w:t>
      </w:r>
      <w:r w:rsidR="00B87879">
        <w:rPr>
          <w:rFonts w:ascii="Verdana" w:eastAsia="Times New Roman" w:hAnsi="Verdana" w:cs="Times New Roman"/>
          <w:bCs/>
          <w:color w:val="000000"/>
          <w:lang w:eastAsia="sl-SI"/>
        </w:rPr>
        <w:t>tudi</w:t>
      </w:r>
      <w:r w:rsidR="00B87879" w:rsidRPr="001629DC">
        <w:rPr>
          <w:rFonts w:ascii="Verdana" w:eastAsia="Times New Roman" w:hAnsi="Verdana" w:cs="Times New Roman"/>
          <w:bCs/>
          <w:color w:val="000000"/>
          <w:lang w:eastAsia="sl-SI"/>
        </w:rPr>
        <w:t xml:space="preserve"> predstavnikom Ministrstva za zdravje. </w:t>
      </w:r>
    </w:p>
    <w:p w14:paraId="300DAE4A" w14:textId="4098FF27" w:rsidR="00406A3D" w:rsidRDefault="00406A3D" w:rsidP="00005B77">
      <w:pPr>
        <w:jc w:val="both"/>
        <w:rPr>
          <w:rFonts w:ascii="Verdana" w:eastAsia="Times New Roman" w:hAnsi="Verdana" w:cs="Times New Roman"/>
          <w:bCs/>
          <w:color w:val="000000"/>
          <w:lang w:eastAsia="sl-SI"/>
        </w:rPr>
      </w:pPr>
      <w:r>
        <w:rPr>
          <w:rFonts w:ascii="Verdana" w:eastAsia="Times New Roman" w:hAnsi="Verdana" w:cs="Times New Roman"/>
          <w:bCs/>
          <w:color w:val="000000"/>
          <w:lang w:eastAsia="sl-SI"/>
        </w:rPr>
        <w:t>V temeljitem in obširnem pravnem mnenju v zvezi z akreditacijo članice univerze s</w:t>
      </w:r>
      <w:r w:rsidR="0056521F">
        <w:rPr>
          <w:rFonts w:ascii="Verdana" w:eastAsia="Times New Roman" w:hAnsi="Verdana" w:cs="Times New Roman"/>
          <w:bCs/>
          <w:color w:val="000000"/>
          <w:lang w:eastAsia="sl-SI"/>
        </w:rPr>
        <w:t>i je agencija</w:t>
      </w:r>
      <w:r>
        <w:rPr>
          <w:rFonts w:ascii="Verdana" w:eastAsia="Times New Roman" w:hAnsi="Verdana" w:cs="Times New Roman"/>
          <w:bCs/>
          <w:color w:val="000000"/>
          <w:lang w:eastAsia="sl-SI"/>
        </w:rPr>
        <w:t xml:space="preserve"> zaradi nejasne ali nedosledne zakonodaje poskušal</w:t>
      </w:r>
      <w:r w:rsidR="0056521F">
        <w:rPr>
          <w:rFonts w:ascii="Verdana" w:eastAsia="Times New Roman" w:hAnsi="Verdana" w:cs="Times New Roman"/>
          <w:bCs/>
          <w:color w:val="000000"/>
          <w:lang w:eastAsia="sl-SI"/>
        </w:rPr>
        <w:t>a</w:t>
      </w:r>
      <w:r>
        <w:rPr>
          <w:rFonts w:ascii="Verdana" w:eastAsia="Times New Roman" w:hAnsi="Verdana" w:cs="Times New Roman"/>
          <w:bCs/>
          <w:color w:val="000000"/>
          <w:lang w:eastAsia="sl-SI"/>
        </w:rPr>
        <w:t xml:space="preserve"> odgovoriti na pereča vprašanja v zvezi s tem. MIZŠ namreč zahteva, naj agencija prvič akreditira vsako novo članico univerze, </w:t>
      </w:r>
      <w:r w:rsidR="00B87879">
        <w:rPr>
          <w:rFonts w:ascii="Verdana" w:eastAsia="Times New Roman" w:hAnsi="Verdana" w:cs="Times New Roman"/>
          <w:bCs/>
          <w:color w:val="000000"/>
          <w:lang w:eastAsia="sl-SI"/>
        </w:rPr>
        <w:t>zakonodaja pa ureja le postopek akreditacije univerze in samostojnega visokošolskega zavoda.</w:t>
      </w:r>
      <w:r>
        <w:rPr>
          <w:rFonts w:ascii="Verdana" w:eastAsia="Times New Roman" w:hAnsi="Verdana" w:cs="Times New Roman"/>
          <w:bCs/>
          <w:color w:val="000000"/>
          <w:lang w:eastAsia="sl-SI"/>
        </w:rPr>
        <w:t xml:space="preserve"> Za tolmačenje ZViS je sicer pristojen državni zbor, resorno ministrstvo (v tem primeru MIZŠ) pa za pripravo gradiva o tem. Ker agencija kljub večkratnim prošnjam za tolmačenje ni dobila pisnega odgovora, ali je prva akreditacija članice univerze v skladu z ZViS oziroma, kako naj v tem primeru ravna pri podaljševanju akreditacije univerzam, se je  odločila, da izdela lastno </w:t>
      </w:r>
      <w:r>
        <w:rPr>
          <w:rFonts w:ascii="Verdana" w:eastAsia="Times New Roman" w:hAnsi="Verdana" w:cs="Times New Roman"/>
          <w:bCs/>
          <w:color w:val="000000"/>
          <w:lang w:eastAsia="sl-SI"/>
        </w:rPr>
        <w:lastRenderedPageBreak/>
        <w:t xml:space="preserve">mnenje, ki ji bo v pomoč pri nadaljnjih pogovorih z MIZŠ oziroma končni odločitvi o (ne)zakonitosti akreditacije posamezne članice. </w:t>
      </w:r>
    </w:p>
    <w:p w14:paraId="40CE3159" w14:textId="6666FB2A" w:rsidR="00BC2666" w:rsidRDefault="00BC2666" w:rsidP="00005B77">
      <w:pPr>
        <w:jc w:val="both"/>
        <w:rPr>
          <w:rFonts w:ascii="Verdana" w:eastAsia="Times New Roman" w:hAnsi="Verdana" w:cs="Times New Roman"/>
          <w:bCs/>
          <w:color w:val="000000"/>
          <w:lang w:eastAsia="sl-SI"/>
        </w:rPr>
      </w:pPr>
      <w:r>
        <w:rPr>
          <w:rFonts w:ascii="Verdana" w:eastAsia="Times New Roman" w:hAnsi="Verdana" w:cs="Times New Roman"/>
          <w:bCs/>
          <w:color w:val="000000"/>
          <w:lang w:eastAsia="sl-SI"/>
        </w:rPr>
        <w:t xml:space="preserve">Pri </w:t>
      </w:r>
      <w:r w:rsidRPr="0087558B">
        <w:rPr>
          <w:rFonts w:ascii="Verdana" w:eastAsia="Times New Roman" w:hAnsi="Verdana" w:cs="Times New Roman"/>
          <w:b/>
          <w:bCs/>
          <w:color w:val="000000"/>
          <w:lang w:eastAsia="sl-SI"/>
        </w:rPr>
        <w:t>finančnih in kadrovskih zadevah</w:t>
      </w:r>
      <w:r>
        <w:rPr>
          <w:rFonts w:ascii="Verdana" w:eastAsia="Times New Roman" w:hAnsi="Verdana" w:cs="Times New Roman"/>
          <w:bCs/>
          <w:color w:val="000000"/>
          <w:lang w:eastAsia="sl-SI"/>
        </w:rPr>
        <w:t xml:space="preserve"> se je</w:t>
      </w:r>
      <w:r w:rsidR="006401FE">
        <w:rPr>
          <w:rFonts w:ascii="Verdana" w:eastAsia="Times New Roman" w:hAnsi="Verdana" w:cs="Times New Roman"/>
          <w:bCs/>
          <w:color w:val="000000"/>
          <w:lang w:eastAsia="sl-SI"/>
        </w:rPr>
        <w:t xml:space="preserve"> - podobno kot </w:t>
      </w:r>
      <w:r w:rsidR="0056521F">
        <w:rPr>
          <w:rFonts w:ascii="Verdana" w:eastAsia="Times New Roman" w:hAnsi="Verdana" w:cs="Times New Roman"/>
          <w:bCs/>
          <w:color w:val="000000"/>
          <w:lang w:eastAsia="sl-SI"/>
        </w:rPr>
        <w:t>v</w:t>
      </w:r>
      <w:r w:rsidR="006401FE">
        <w:rPr>
          <w:rFonts w:ascii="Verdana" w:eastAsia="Times New Roman" w:hAnsi="Verdana" w:cs="Times New Roman"/>
          <w:bCs/>
          <w:color w:val="000000"/>
          <w:lang w:eastAsia="sl-SI"/>
        </w:rPr>
        <w:t xml:space="preserve"> drugih sektorjih -</w:t>
      </w:r>
      <w:r>
        <w:rPr>
          <w:rFonts w:ascii="Verdana" w:eastAsia="Times New Roman" w:hAnsi="Verdana" w:cs="Times New Roman"/>
          <w:bCs/>
          <w:color w:val="000000"/>
          <w:lang w:eastAsia="sl-SI"/>
        </w:rPr>
        <w:t xml:space="preserve"> </w:t>
      </w:r>
      <w:r w:rsidR="00B10B3D">
        <w:rPr>
          <w:rFonts w:ascii="Verdana" w:eastAsia="Times New Roman" w:hAnsi="Verdana" w:cs="Times New Roman"/>
          <w:bCs/>
          <w:color w:val="000000"/>
          <w:lang w:eastAsia="sl-SI"/>
        </w:rPr>
        <w:t xml:space="preserve">zaradi </w:t>
      </w:r>
      <w:r w:rsidR="006401FE">
        <w:rPr>
          <w:rFonts w:ascii="Verdana" w:eastAsia="Times New Roman" w:hAnsi="Verdana" w:cs="Times New Roman"/>
          <w:bCs/>
          <w:color w:val="000000"/>
          <w:lang w:eastAsia="sl-SI"/>
        </w:rPr>
        <w:t>prevelikega števila nalog</w:t>
      </w:r>
      <w:r w:rsidR="00B10B3D">
        <w:rPr>
          <w:rFonts w:ascii="Verdana" w:eastAsia="Times New Roman" w:hAnsi="Verdana" w:cs="Times New Roman"/>
          <w:bCs/>
          <w:color w:val="000000"/>
          <w:lang w:eastAsia="sl-SI"/>
        </w:rPr>
        <w:t xml:space="preserve"> </w:t>
      </w:r>
      <w:r>
        <w:rPr>
          <w:rFonts w:ascii="Verdana" w:eastAsia="Times New Roman" w:hAnsi="Verdana" w:cs="Times New Roman"/>
          <w:bCs/>
          <w:color w:val="000000"/>
          <w:lang w:eastAsia="sl-SI"/>
        </w:rPr>
        <w:t xml:space="preserve">v leto 2019 prestavila izvedba notranjega nadzora agencije, druge naloge so bile v celoti opravljene. Veliko dela (pa tudi časa) je bilo v sodelovanju s pravnico iz sektorja za kakovost vloženega </w:t>
      </w:r>
      <w:r w:rsidR="0056521F">
        <w:rPr>
          <w:rFonts w:ascii="Verdana" w:eastAsia="Times New Roman" w:hAnsi="Verdana" w:cs="Times New Roman"/>
          <w:bCs/>
          <w:color w:val="000000"/>
          <w:lang w:eastAsia="sl-SI"/>
        </w:rPr>
        <w:t>v</w:t>
      </w:r>
      <w:r>
        <w:rPr>
          <w:rFonts w:ascii="Verdana" w:eastAsia="Times New Roman" w:hAnsi="Verdana" w:cs="Times New Roman"/>
          <w:bCs/>
          <w:color w:val="000000"/>
          <w:lang w:eastAsia="sl-SI"/>
        </w:rPr>
        <w:t xml:space="preserve"> proučevanj</w:t>
      </w:r>
      <w:r w:rsidR="0056521F">
        <w:rPr>
          <w:rFonts w:ascii="Verdana" w:eastAsia="Times New Roman" w:hAnsi="Verdana" w:cs="Times New Roman"/>
          <w:bCs/>
          <w:color w:val="000000"/>
          <w:lang w:eastAsia="sl-SI"/>
        </w:rPr>
        <w:t>e</w:t>
      </w:r>
      <w:r>
        <w:rPr>
          <w:rFonts w:ascii="Verdana" w:eastAsia="Times New Roman" w:hAnsi="Verdana" w:cs="Times New Roman"/>
          <w:bCs/>
          <w:color w:val="000000"/>
          <w:lang w:eastAsia="sl-SI"/>
        </w:rPr>
        <w:t xml:space="preserve"> problematike</w:t>
      </w:r>
      <w:r w:rsidR="0056521F">
        <w:rPr>
          <w:rFonts w:ascii="Verdana" w:eastAsia="Times New Roman" w:hAnsi="Verdana" w:cs="Times New Roman"/>
          <w:bCs/>
          <w:color w:val="000000"/>
          <w:lang w:eastAsia="sl-SI"/>
        </w:rPr>
        <w:t>, povezane z</w:t>
      </w:r>
      <w:r>
        <w:rPr>
          <w:rFonts w:ascii="Verdana" w:eastAsia="Times New Roman" w:hAnsi="Verdana" w:cs="Times New Roman"/>
          <w:bCs/>
          <w:color w:val="000000"/>
          <w:lang w:eastAsia="sl-SI"/>
        </w:rPr>
        <w:t xml:space="preserve"> odstop</w:t>
      </w:r>
      <w:r w:rsidR="0056521F">
        <w:rPr>
          <w:rFonts w:ascii="Verdana" w:eastAsia="Times New Roman" w:hAnsi="Verdana" w:cs="Times New Roman"/>
          <w:bCs/>
          <w:color w:val="000000"/>
          <w:lang w:eastAsia="sl-SI"/>
        </w:rPr>
        <w:t>om</w:t>
      </w:r>
      <w:r>
        <w:rPr>
          <w:rFonts w:ascii="Verdana" w:eastAsia="Times New Roman" w:hAnsi="Verdana" w:cs="Times New Roman"/>
          <w:bCs/>
          <w:color w:val="000000"/>
          <w:lang w:eastAsia="sl-SI"/>
        </w:rPr>
        <w:t xml:space="preserve"> od najemne pogodbe za prostore, v katerih </w:t>
      </w:r>
      <w:r w:rsidR="00B10B3D">
        <w:rPr>
          <w:rFonts w:ascii="Verdana" w:eastAsia="Times New Roman" w:hAnsi="Verdana" w:cs="Times New Roman"/>
          <w:bCs/>
          <w:color w:val="000000"/>
          <w:lang w:eastAsia="sl-SI"/>
        </w:rPr>
        <w:t>je</w:t>
      </w:r>
      <w:r>
        <w:rPr>
          <w:rFonts w:ascii="Verdana" w:eastAsia="Times New Roman" w:hAnsi="Verdana" w:cs="Times New Roman"/>
          <w:bCs/>
          <w:color w:val="000000"/>
          <w:lang w:eastAsia="sl-SI"/>
        </w:rPr>
        <w:t xml:space="preserve"> agencija</w:t>
      </w:r>
      <w:r w:rsidR="00B10B3D">
        <w:rPr>
          <w:rFonts w:ascii="Verdana" w:eastAsia="Times New Roman" w:hAnsi="Verdana" w:cs="Times New Roman"/>
          <w:bCs/>
          <w:color w:val="000000"/>
          <w:lang w:eastAsia="sl-SI"/>
        </w:rPr>
        <w:t>.</w:t>
      </w:r>
      <w:r>
        <w:rPr>
          <w:rFonts w:ascii="Verdana" w:eastAsia="Times New Roman" w:hAnsi="Verdana" w:cs="Times New Roman"/>
          <w:bCs/>
          <w:color w:val="000000"/>
          <w:lang w:eastAsia="sl-SI"/>
        </w:rPr>
        <w:t xml:space="preserve"> </w:t>
      </w:r>
    </w:p>
    <w:p w14:paraId="4F343379" w14:textId="3660498D" w:rsidR="006401FE" w:rsidRPr="00303CA5" w:rsidRDefault="00BC2666" w:rsidP="00A61D3E">
      <w:pPr>
        <w:jc w:val="both"/>
        <w:rPr>
          <w:rFonts w:ascii="Verdana" w:hAnsi="Verdana"/>
        </w:rPr>
        <w:sectPr w:rsidR="006401FE" w:rsidRPr="00303CA5" w:rsidSect="00406A3D">
          <w:headerReference w:type="default" r:id="rId12"/>
          <w:footerReference w:type="default" r:id="rId13"/>
          <w:pgSz w:w="11906" w:h="16838" w:code="9"/>
          <w:pgMar w:top="1440" w:right="1080" w:bottom="1440" w:left="1080" w:header="357" w:footer="181" w:gutter="0"/>
          <w:cols w:space="708"/>
          <w:titlePg/>
          <w:docGrid w:linePitch="360"/>
        </w:sectPr>
      </w:pPr>
      <w:r>
        <w:rPr>
          <w:rFonts w:ascii="Verdana" w:eastAsia="Times New Roman" w:hAnsi="Verdana" w:cs="Times New Roman"/>
          <w:bCs/>
          <w:color w:val="000000"/>
          <w:lang w:eastAsia="sl-SI"/>
        </w:rPr>
        <w:t xml:space="preserve">Ob pripravi rebalansa je bil med drugim pripravljen načrt porabe sredstev, namenjenih za investicije, in sicer za vzdrževanje in razvijanje informacijskega sistema eNakvis ter za zagotavljanje nujne tehnične infrastrukture, ki jo agencija potrebuje za nemoteno delovanje. Konkreten načrt, v obliki DIIP (dokument identifikacije investicijskega projekta), </w:t>
      </w:r>
      <w:r w:rsidR="0056521F">
        <w:rPr>
          <w:rFonts w:ascii="Verdana" w:eastAsia="Times New Roman" w:hAnsi="Verdana" w:cs="Times New Roman"/>
          <w:bCs/>
          <w:color w:val="000000"/>
          <w:lang w:eastAsia="sl-SI"/>
        </w:rPr>
        <w:t>s</w:t>
      </w:r>
      <w:r>
        <w:rPr>
          <w:rFonts w:ascii="Verdana" w:eastAsia="Times New Roman" w:hAnsi="Verdana" w:cs="Times New Roman"/>
          <w:bCs/>
          <w:color w:val="000000"/>
          <w:lang w:eastAsia="sl-SI"/>
        </w:rPr>
        <w:t>e še priprav</w:t>
      </w:r>
      <w:r w:rsidR="0056521F">
        <w:rPr>
          <w:rFonts w:ascii="Verdana" w:eastAsia="Times New Roman" w:hAnsi="Verdana" w:cs="Times New Roman"/>
          <w:bCs/>
          <w:color w:val="000000"/>
          <w:lang w:eastAsia="sl-SI"/>
        </w:rPr>
        <w:t>lja</w:t>
      </w:r>
      <w:r>
        <w:rPr>
          <w:rFonts w:ascii="Verdana" w:eastAsia="Times New Roman" w:hAnsi="Verdana" w:cs="Times New Roman"/>
          <w:bCs/>
          <w:color w:val="000000"/>
          <w:lang w:eastAsia="sl-SI"/>
        </w:rPr>
        <w:t xml:space="preserve">. </w:t>
      </w:r>
      <w:r w:rsidR="006401FE">
        <w:rPr>
          <w:rFonts w:ascii="Verdana" w:hAnsi="Verdana"/>
        </w:rPr>
        <w:t xml:space="preserve">Drugo delo, ki ga je sektor za splošne zadeve opravil na finančnem in kadrovskem področju, je razvidno iz </w:t>
      </w:r>
      <w:r w:rsidR="0056521F">
        <w:rPr>
          <w:rFonts w:ascii="Verdana" w:hAnsi="Verdana"/>
        </w:rPr>
        <w:t xml:space="preserve">naslednjega </w:t>
      </w:r>
      <w:r w:rsidR="006401FE">
        <w:rPr>
          <w:rFonts w:ascii="Verdana" w:hAnsi="Verdana"/>
        </w:rPr>
        <w:t>poglavja</w:t>
      </w:r>
      <w:r w:rsidR="00005B77">
        <w:rPr>
          <w:rFonts w:ascii="Verdana" w:hAnsi="Verdana"/>
        </w:rPr>
        <w:t>.</w:t>
      </w:r>
    </w:p>
    <w:p w14:paraId="0F54FA77" w14:textId="77777777" w:rsidR="00406A3D" w:rsidRPr="00484FBF" w:rsidRDefault="00406A3D" w:rsidP="00406A3D">
      <w:pPr>
        <w:widowControl w:val="0"/>
        <w:spacing w:after="0" w:line="240" w:lineRule="auto"/>
        <w:jc w:val="both"/>
        <w:rPr>
          <w:rStyle w:val="Neenpoudarek"/>
          <w:rFonts w:ascii="Verdana" w:hAnsi="Verdana"/>
          <w:b/>
          <w:sz w:val="28"/>
          <w:szCs w:val="28"/>
        </w:rPr>
      </w:pPr>
      <w:r w:rsidRPr="00484FBF">
        <w:rPr>
          <w:rStyle w:val="Neenpoudarek"/>
          <w:rFonts w:ascii="Verdana" w:hAnsi="Verdana"/>
          <w:b/>
          <w:sz w:val="28"/>
          <w:szCs w:val="28"/>
        </w:rPr>
        <w:lastRenderedPageBreak/>
        <w:t xml:space="preserve">IV.2.2 VIRI </w:t>
      </w:r>
    </w:p>
    <w:p w14:paraId="60A28CF0" w14:textId="77777777" w:rsidR="00E314E4" w:rsidRPr="00FF2DDC" w:rsidRDefault="00E314E4" w:rsidP="00E314E4">
      <w:pPr>
        <w:rPr>
          <w:rStyle w:val="Neenpoudarek"/>
          <w:rFonts w:ascii="Verdana" w:hAnsi="Verdana"/>
          <w:b/>
          <w:color w:val="auto"/>
          <w:sz w:val="24"/>
          <w:szCs w:val="24"/>
        </w:rPr>
      </w:pPr>
    </w:p>
    <w:p w14:paraId="5B69D105" w14:textId="61917171" w:rsidR="00B33E0C" w:rsidRPr="00E314E4" w:rsidRDefault="009B7801" w:rsidP="00E314E4">
      <w:pPr>
        <w:rPr>
          <w:rFonts w:ascii="Verdana" w:eastAsia="Times New Roman" w:hAnsi="Verdana" w:cs="Calibri"/>
          <w:sz w:val="20"/>
          <w:szCs w:val="20"/>
          <w:lang w:eastAsia="x-none"/>
        </w:rPr>
      </w:pPr>
      <w:r w:rsidRPr="00FF2DDC">
        <w:rPr>
          <w:rStyle w:val="Neenpoudarek"/>
          <w:rFonts w:ascii="Verdana" w:hAnsi="Verdana"/>
          <w:b/>
          <w:color w:val="auto"/>
          <w:sz w:val="24"/>
          <w:szCs w:val="24"/>
        </w:rPr>
        <w:t>FINAN</w:t>
      </w:r>
      <w:r w:rsidR="00812B7B" w:rsidRPr="00FF2DDC">
        <w:rPr>
          <w:rStyle w:val="Neenpoudarek"/>
          <w:rFonts w:ascii="Verdana" w:hAnsi="Verdana"/>
          <w:b/>
          <w:color w:val="auto"/>
          <w:sz w:val="24"/>
          <w:szCs w:val="24"/>
        </w:rPr>
        <w:t>ČNA SREDSTVA</w:t>
      </w:r>
    </w:p>
    <w:p w14:paraId="479EF32B" w14:textId="077F8E85" w:rsidR="00B33E0C" w:rsidRPr="00FF2DDC" w:rsidRDefault="000663EE" w:rsidP="00E314E4">
      <w:pPr>
        <w:rPr>
          <w:rFonts w:ascii="Verdana" w:eastAsia="Times New Roman" w:hAnsi="Verdana" w:cs="Calibri"/>
          <w:b/>
          <w:bCs/>
          <w:lang w:eastAsia="x-none"/>
        </w:rPr>
      </w:pPr>
      <w:r w:rsidRPr="00FF2DDC">
        <w:rPr>
          <w:rFonts w:ascii="Verdana" w:eastAsia="Times New Roman" w:hAnsi="Verdana" w:cs="Calibri"/>
          <w:b/>
          <w:bCs/>
          <w:lang w:eastAsia="x-none"/>
        </w:rPr>
        <w:t>R</w:t>
      </w:r>
      <w:proofErr w:type="spellStart"/>
      <w:r w:rsidRPr="00FF2DDC">
        <w:rPr>
          <w:rFonts w:ascii="Verdana" w:eastAsia="Times New Roman" w:hAnsi="Verdana" w:cs="Calibri"/>
          <w:b/>
          <w:bCs/>
          <w:lang w:val="x-none" w:eastAsia="x-none"/>
        </w:rPr>
        <w:t>ealizacija</w:t>
      </w:r>
      <w:proofErr w:type="spellEnd"/>
      <w:r w:rsidRPr="00FF2DDC">
        <w:rPr>
          <w:rFonts w:ascii="Verdana" w:eastAsia="Times New Roman" w:hAnsi="Verdana" w:cs="Calibri"/>
          <w:b/>
          <w:bCs/>
          <w:lang w:val="x-none" w:eastAsia="x-none"/>
        </w:rPr>
        <w:t xml:space="preserve"> državnega proračuna </w:t>
      </w:r>
      <w:r w:rsidRPr="00FF2DDC">
        <w:rPr>
          <w:rFonts w:ascii="Verdana" w:eastAsia="Times New Roman" w:hAnsi="Verdana" w:cs="Calibri"/>
          <w:b/>
          <w:bCs/>
          <w:lang w:eastAsia="x-none"/>
        </w:rPr>
        <w:t>a</w:t>
      </w:r>
      <w:proofErr w:type="spellStart"/>
      <w:r w:rsidRPr="00FF2DDC">
        <w:rPr>
          <w:rFonts w:ascii="Verdana" w:eastAsia="Times New Roman" w:hAnsi="Verdana" w:cs="Calibri"/>
          <w:b/>
          <w:bCs/>
          <w:u w:val="single"/>
          <w:lang w:val="x-none" w:eastAsia="x-none"/>
        </w:rPr>
        <w:t>gencije</w:t>
      </w:r>
      <w:proofErr w:type="spellEnd"/>
      <w:r w:rsidRPr="00FF2DDC">
        <w:rPr>
          <w:rFonts w:ascii="Verdana" w:eastAsia="Times New Roman" w:hAnsi="Verdana" w:cs="Calibri"/>
          <w:b/>
          <w:bCs/>
          <w:u w:val="single"/>
          <w:lang w:val="x-none" w:eastAsia="x-none"/>
        </w:rPr>
        <w:t xml:space="preserve"> </w:t>
      </w:r>
      <w:r w:rsidRPr="00FF2DDC">
        <w:rPr>
          <w:rFonts w:ascii="Verdana" w:eastAsia="Times New Roman" w:hAnsi="Verdana" w:cs="Calibri"/>
          <w:b/>
          <w:bCs/>
          <w:lang w:val="x-none" w:eastAsia="x-none"/>
        </w:rPr>
        <w:t xml:space="preserve"> za leto </w:t>
      </w:r>
      <w:r w:rsidRPr="00FF2DDC">
        <w:rPr>
          <w:rFonts w:ascii="Verdana" w:eastAsia="Times New Roman" w:hAnsi="Verdana" w:cs="Calibri"/>
          <w:b/>
          <w:bCs/>
          <w:lang w:eastAsia="x-none"/>
        </w:rPr>
        <w:t>2018</w:t>
      </w:r>
    </w:p>
    <w:tbl>
      <w:tblPr>
        <w:tblW w:w="5004"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979"/>
        <w:gridCol w:w="2835"/>
        <w:gridCol w:w="1579"/>
        <w:gridCol w:w="1579"/>
        <w:gridCol w:w="1579"/>
        <w:gridCol w:w="1406"/>
      </w:tblGrid>
      <w:tr w:rsidR="0020566B" w:rsidRPr="00FF2DDC" w14:paraId="1E445231" w14:textId="77777777" w:rsidTr="003201DA">
        <w:trPr>
          <w:trHeight w:val="315"/>
          <w:tblHeader/>
        </w:trPr>
        <w:tc>
          <w:tcPr>
            <w:tcW w:w="979" w:type="dxa"/>
            <w:tcBorders>
              <w:bottom w:val="single" w:sz="12" w:space="0" w:color="000000"/>
            </w:tcBorders>
            <w:shd w:val="clear" w:color="auto" w:fill="auto"/>
            <w:noWrap/>
            <w:vAlign w:val="bottom"/>
          </w:tcPr>
          <w:p w14:paraId="37E3A03F" w14:textId="77777777" w:rsidR="00B33E0C" w:rsidRPr="00FF2DDC" w:rsidRDefault="00B33E0C" w:rsidP="0020566B">
            <w:pPr>
              <w:rPr>
                <w:rFonts w:ascii="Verdana" w:hAnsi="Verdana" w:cs="Calibri"/>
                <w:bCs/>
                <w:sz w:val="20"/>
                <w:szCs w:val="20"/>
                <w:lang w:eastAsia="en-GB"/>
              </w:rPr>
            </w:pPr>
            <w:r w:rsidRPr="00FF2DDC">
              <w:rPr>
                <w:rFonts w:ascii="Verdana" w:hAnsi="Verdana" w:cs="Calibri"/>
                <w:bCs/>
                <w:sz w:val="20"/>
                <w:szCs w:val="20"/>
                <w:lang w:eastAsia="en-GB"/>
              </w:rPr>
              <w:t>PP</w:t>
            </w:r>
          </w:p>
        </w:tc>
        <w:tc>
          <w:tcPr>
            <w:tcW w:w="2835" w:type="dxa"/>
            <w:tcBorders>
              <w:bottom w:val="single" w:sz="12" w:space="0" w:color="000000"/>
            </w:tcBorders>
            <w:shd w:val="clear" w:color="auto" w:fill="auto"/>
            <w:noWrap/>
            <w:vAlign w:val="bottom"/>
          </w:tcPr>
          <w:p w14:paraId="328772BF" w14:textId="77777777" w:rsidR="00B33E0C" w:rsidRPr="00FF2DDC" w:rsidRDefault="00B33E0C" w:rsidP="0020566B">
            <w:pPr>
              <w:rPr>
                <w:rFonts w:ascii="Verdana" w:hAnsi="Verdana" w:cs="Calibri"/>
                <w:bCs/>
                <w:sz w:val="20"/>
                <w:szCs w:val="20"/>
                <w:lang w:val="da-DK" w:eastAsia="en-GB"/>
              </w:rPr>
            </w:pPr>
            <w:r w:rsidRPr="00FF2DDC">
              <w:rPr>
                <w:rFonts w:ascii="Verdana" w:hAnsi="Verdana" w:cs="Calibri"/>
                <w:bCs/>
                <w:sz w:val="20"/>
                <w:szCs w:val="20"/>
                <w:lang w:val="da-DK" w:eastAsia="en-GB"/>
              </w:rPr>
              <w:t>Politika / Glavni program / Podprogram / Proračunska postavka</w:t>
            </w:r>
          </w:p>
        </w:tc>
        <w:tc>
          <w:tcPr>
            <w:tcW w:w="1397" w:type="dxa"/>
            <w:tcBorders>
              <w:bottom w:val="single" w:sz="12" w:space="0" w:color="000000"/>
            </w:tcBorders>
            <w:shd w:val="clear" w:color="auto" w:fill="auto"/>
            <w:noWrap/>
            <w:vAlign w:val="bottom"/>
          </w:tcPr>
          <w:p w14:paraId="1149C568" w14:textId="77777777" w:rsidR="00B33E0C" w:rsidRPr="00FF2DDC" w:rsidRDefault="00B33E0C" w:rsidP="0020566B">
            <w:pPr>
              <w:rPr>
                <w:rFonts w:ascii="Verdana" w:hAnsi="Verdana" w:cs="Calibri"/>
                <w:bCs/>
                <w:sz w:val="20"/>
                <w:szCs w:val="20"/>
                <w:lang w:val="en-GB" w:eastAsia="en-GB"/>
              </w:rPr>
            </w:pPr>
            <w:proofErr w:type="spellStart"/>
            <w:r w:rsidRPr="00FF2DDC">
              <w:rPr>
                <w:rFonts w:ascii="Verdana" w:hAnsi="Verdana" w:cs="Calibri"/>
                <w:bCs/>
                <w:sz w:val="20"/>
                <w:szCs w:val="20"/>
                <w:lang w:val="en-GB" w:eastAsia="en-GB"/>
              </w:rPr>
              <w:t>Sprejeti</w:t>
            </w:r>
            <w:proofErr w:type="spellEnd"/>
            <w:r w:rsidRPr="00FF2DDC">
              <w:rPr>
                <w:rFonts w:ascii="Verdana" w:hAnsi="Verdana" w:cs="Calibri"/>
                <w:bCs/>
                <w:sz w:val="20"/>
                <w:szCs w:val="20"/>
                <w:lang w:val="en-GB" w:eastAsia="en-GB"/>
              </w:rPr>
              <w:t xml:space="preserve"> </w:t>
            </w:r>
            <w:proofErr w:type="spellStart"/>
            <w:r w:rsidRPr="00FF2DDC">
              <w:rPr>
                <w:rFonts w:ascii="Verdana" w:hAnsi="Verdana" w:cs="Calibri"/>
                <w:bCs/>
                <w:sz w:val="20"/>
                <w:szCs w:val="20"/>
                <w:lang w:val="en-GB" w:eastAsia="en-GB"/>
              </w:rPr>
              <w:t>proračun</w:t>
            </w:r>
            <w:proofErr w:type="spellEnd"/>
            <w:r w:rsidRPr="00FF2DDC">
              <w:rPr>
                <w:rFonts w:ascii="Verdana" w:hAnsi="Verdana" w:cs="Calibri"/>
                <w:bCs/>
                <w:sz w:val="20"/>
                <w:szCs w:val="20"/>
                <w:lang w:val="en-GB" w:eastAsia="en-GB"/>
              </w:rPr>
              <w:t xml:space="preserve"> 2018 (v EUR)</w:t>
            </w:r>
          </w:p>
        </w:tc>
        <w:tc>
          <w:tcPr>
            <w:tcW w:w="1560" w:type="dxa"/>
            <w:tcBorders>
              <w:bottom w:val="single" w:sz="12" w:space="0" w:color="000000"/>
            </w:tcBorders>
            <w:shd w:val="clear" w:color="auto" w:fill="auto"/>
            <w:noWrap/>
            <w:vAlign w:val="bottom"/>
          </w:tcPr>
          <w:p w14:paraId="5626ED36" w14:textId="77777777" w:rsidR="00B33E0C" w:rsidRPr="00FF2DDC" w:rsidRDefault="00B33E0C" w:rsidP="0020566B">
            <w:pPr>
              <w:rPr>
                <w:rFonts w:ascii="Verdana" w:hAnsi="Verdana" w:cs="Calibri"/>
                <w:bCs/>
                <w:sz w:val="20"/>
                <w:szCs w:val="20"/>
                <w:lang w:val="en-GB" w:eastAsia="en-GB"/>
              </w:rPr>
            </w:pPr>
            <w:proofErr w:type="spellStart"/>
            <w:r w:rsidRPr="00FF2DDC">
              <w:rPr>
                <w:rFonts w:ascii="Verdana" w:hAnsi="Verdana" w:cs="Calibri"/>
                <w:bCs/>
                <w:sz w:val="20"/>
                <w:szCs w:val="20"/>
                <w:lang w:val="en-GB" w:eastAsia="en-GB"/>
              </w:rPr>
              <w:t>Veljavni</w:t>
            </w:r>
            <w:proofErr w:type="spellEnd"/>
            <w:r w:rsidRPr="00FF2DDC">
              <w:rPr>
                <w:rFonts w:ascii="Verdana" w:hAnsi="Verdana" w:cs="Calibri"/>
                <w:bCs/>
                <w:sz w:val="20"/>
                <w:szCs w:val="20"/>
                <w:lang w:val="en-GB" w:eastAsia="en-GB"/>
              </w:rPr>
              <w:t xml:space="preserve"> </w:t>
            </w:r>
            <w:proofErr w:type="spellStart"/>
            <w:r w:rsidRPr="00FF2DDC">
              <w:rPr>
                <w:rFonts w:ascii="Verdana" w:hAnsi="Verdana" w:cs="Calibri"/>
                <w:bCs/>
                <w:sz w:val="20"/>
                <w:szCs w:val="20"/>
                <w:lang w:val="en-GB" w:eastAsia="en-GB"/>
              </w:rPr>
              <w:t>proračun</w:t>
            </w:r>
            <w:proofErr w:type="spellEnd"/>
            <w:r w:rsidRPr="00FF2DDC">
              <w:rPr>
                <w:rFonts w:ascii="Verdana" w:hAnsi="Verdana" w:cs="Calibri"/>
                <w:bCs/>
                <w:sz w:val="20"/>
                <w:szCs w:val="20"/>
                <w:lang w:val="en-GB" w:eastAsia="en-GB"/>
              </w:rPr>
              <w:t xml:space="preserve"> 2018 (v EUR)</w:t>
            </w:r>
          </w:p>
        </w:tc>
        <w:tc>
          <w:tcPr>
            <w:tcW w:w="1429" w:type="dxa"/>
            <w:tcBorders>
              <w:bottom w:val="single" w:sz="12" w:space="0" w:color="000000"/>
            </w:tcBorders>
            <w:shd w:val="clear" w:color="auto" w:fill="auto"/>
            <w:noWrap/>
            <w:vAlign w:val="bottom"/>
          </w:tcPr>
          <w:p w14:paraId="2E6726EE" w14:textId="77777777" w:rsidR="00B33E0C" w:rsidRPr="00FF2DDC" w:rsidRDefault="00B33E0C">
            <w:pPr>
              <w:rPr>
                <w:rFonts w:ascii="Verdana" w:hAnsi="Verdana" w:cs="Calibri"/>
                <w:bCs/>
                <w:sz w:val="20"/>
                <w:szCs w:val="20"/>
                <w:lang w:val="en-GB" w:eastAsia="en-GB"/>
              </w:rPr>
            </w:pPr>
            <w:proofErr w:type="spellStart"/>
            <w:r w:rsidRPr="00FF2DDC">
              <w:rPr>
                <w:rFonts w:ascii="Verdana" w:hAnsi="Verdana" w:cs="Calibri"/>
                <w:bCs/>
                <w:sz w:val="20"/>
                <w:szCs w:val="20"/>
                <w:lang w:val="en-GB" w:eastAsia="en-GB"/>
              </w:rPr>
              <w:t>Realizacija</w:t>
            </w:r>
            <w:proofErr w:type="spellEnd"/>
            <w:r w:rsidRPr="00FF2DDC">
              <w:rPr>
                <w:rFonts w:ascii="Verdana" w:hAnsi="Verdana" w:cs="Calibri"/>
                <w:bCs/>
                <w:sz w:val="20"/>
                <w:szCs w:val="20"/>
                <w:lang w:val="en-GB" w:eastAsia="en-GB"/>
              </w:rPr>
              <w:t xml:space="preserve"> </w:t>
            </w:r>
            <w:proofErr w:type="spellStart"/>
            <w:r w:rsidRPr="00FF2DDC">
              <w:rPr>
                <w:rFonts w:ascii="Verdana" w:hAnsi="Verdana" w:cs="Calibri"/>
                <w:bCs/>
                <w:sz w:val="20"/>
                <w:szCs w:val="20"/>
                <w:lang w:val="en-GB" w:eastAsia="en-GB"/>
              </w:rPr>
              <w:t>proračuna</w:t>
            </w:r>
            <w:proofErr w:type="spellEnd"/>
            <w:r w:rsidRPr="00FF2DDC">
              <w:rPr>
                <w:rFonts w:ascii="Verdana" w:hAnsi="Verdana" w:cs="Calibri"/>
                <w:bCs/>
                <w:sz w:val="20"/>
                <w:szCs w:val="20"/>
                <w:lang w:val="en-GB" w:eastAsia="en-GB"/>
              </w:rPr>
              <w:t xml:space="preserve"> 2018 (v EUR)</w:t>
            </w:r>
          </w:p>
        </w:tc>
        <w:tc>
          <w:tcPr>
            <w:tcW w:w="1406" w:type="dxa"/>
            <w:tcBorders>
              <w:bottom w:val="single" w:sz="12" w:space="0" w:color="000000"/>
            </w:tcBorders>
            <w:shd w:val="clear" w:color="auto" w:fill="auto"/>
            <w:noWrap/>
            <w:vAlign w:val="bottom"/>
          </w:tcPr>
          <w:p w14:paraId="464D4B08" w14:textId="547539DE" w:rsidR="00B33E0C" w:rsidRPr="00FF2DDC" w:rsidRDefault="00B33E0C" w:rsidP="00C96D02">
            <w:pPr>
              <w:rPr>
                <w:rFonts w:ascii="Verdana" w:hAnsi="Verdana" w:cs="Calibri"/>
                <w:bCs/>
                <w:sz w:val="20"/>
                <w:szCs w:val="20"/>
                <w:lang w:val="da-DK" w:eastAsia="en-GB"/>
              </w:rPr>
            </w:pPr>
            <w:r w:rsidRPr="00FF2DDC">
              <w:rPr>
                <w:rFonts w:ascii="Verdana" w:hAnsi="Verdana" w:cs="Calibri"/>
                <w:bCs/>
                <w:sz w:val="20"/>
                <w:szCs w:val="20"/>
                <w:lang w:val="da-DK" w:eastAsia="en-GB"/>
              </w:rPr>
              <w:t xml:space="preserve">Delež realizacije proračuna v </w:t>
            </w:r>
            <w:r w:rsidR="00C96D02">
              <w:rPr>
                <w:rFonts w:ascii="Verdana" w:hAnsi="Verdana" w:cs="Calibri"/>
                <w:bCs/>
                <w:sz w:val="20"/>
                <w:szCs w:val="20"/>
                <w:lang w:val="da-DK" w:eastAsia="en-GB"/>
              </w:rPr>
              <w:t>sprejetem</w:t>
            </w:r>
            <w:r w:rsidRPr="00FF2DDC">
              <w:rPr>
                <w:rFonts w:ascii="Verdana" w:hAnsi="Verdana" w:cs="Calibri"/>
                <w:bCs/>
                <w:sz w:val="20"/>
                <w:szCs w:val="20"/>
                <w:lang w:val="da-DK" w:eastAsia="en-GB"/>
              </w:rPr>
              <w:t xml:space="preserve"> proračunu</w:t>
            </w:r>
          </w:p>
        </w:tc>
      </w:tr>
      <w:tr w:rsidR="00E314E4" w:rsidRPr="00FF2DDC" w14:paraId="16AE6C77" w14:textId="77777777" w:rsidTr="003201DA">
        <w:trPr>
          <w:trHeight w:val="315"/>
          <w:tblHeader/>
        </w:trPr>
        <w:tc>
          <w:tcPr>
            <w:tcW w:w="979" w:type="dxa"/>
            <w:tcBorders>
              <w:bottom w:val="single" w:sz="12" w:space="0" w:color="000000"/>
            </w:tcBorders>
            <w:shd w:val="clear" w:color="auto" w:fill="auto"/>
            <w:noWrap/>
          </w:tcPr>
          <w:p w14:paraId="3E11E4F0" w14:textId="77777777" w:rsidR="00B33E0C" w:rsidRPr="00FF2DDC" w:rsidRDefault="00B33E0C" w:rsidP="00E314E4">
            <w:pPr>
              <w:rPr>
                <w:rFonts w:ascii="Verdana" w:hAnsi="Verdana" w:cs="Calibri"/>
                <w:bCs/>
                <w:sz w:val="20"/>
                <w:szCs w:val="20"/>
                <w:lang w:eastAsia="en-GB"/>
              </w:rPr>
            </w:pPr>
            <w:r w:rsidRPr="00FF2DDC">
              <w:rPr>
                <w:rFonts w:ascii="Verdana" w:hAnsi="Verdana" w:cs="Calibri"/>
                <w:bCs/>
                <w:sz w:val="20"/>
                <w:szCs w:val="20"/>
                <w:lang w:eastAsia="en-GB"/>
              </w:rPr>
              <w:t>1</w:t>
            </w:r>
          </w:p>
        </w:tc>
        <w:tc>
          <w:tcPr>
            <w:tcW w:w="2835" w:type="dxa"/>
            <w:tcBorders>
              <w:bottom w:val="single" w:sz="12" w:space="0" w:color="000000"/>
            </w:tcBorders>
            <w:shd w:val="clear" w:color="auto" w:fill="auto"/>
            <w:noWrap/>
          </w:tcPr>
          <w:p w14:paraId="4F889B6F" w14:textId="77777777" w:rsidR="00B33E0C" w:rsidRPr="00FF2DDC" w:rsidRDefault="00B33E0C" w:rsidP="00E314E4">
            <w:pPr>
              <w:rPr>
                <w:rFonts w:ascii="Verdana" w:hAnsi="Verdana" w:cs="Calibri"/>
                <w:bCs/>
                <w:sz w:val="20"/>
                <w:szCs w:val="20"/>
                <w:lang w:eastAsia="en-GB"/>
              </w:rPr>
            </w:pPr>
            <w:r w:rsidRPr="00FF2DDC">
              <w:rPr>
                <w:rFonts w:ascii="Verdana" w:hAnsi="Verdana" w:cs="Calibri"/>
                <w:bCs/>
                <w:sz w:val="20"/>
                <w:szCs w:val="20"/>
                <w:lang w:eastAsia="en-GB"/>
              </w:rPr>
              <w:t>2</w:t>
            </w:r>
          </w:p>
        </w:tc>
        <w:tc>
          <w:tcPr>
            <w:tcW w:w="1397" w:type="dxa"/>
            <w:tcBorders>
              <w:bottom w:val="single" w:sz="12" w:space="0" w:color="000000"/>
            </w:tcBorders>
            <w:shd w:val="clear" w:color="auto" w:fill="auto"/>
            <w:noWrap/>
          </w:tcPr>
          <w:p w14:paraId="46BFDFC5" w14:textId="77777777" w:rsidR="00B33E0C" w:rsidRPr="00FF2DDC" w:rsidRDefault="00B33E0C" w:rsidP="00E314E4">
            <w:pPr>
              <w:rPr>
                <w:rFonts w:ascii="Verdana" w:hAnsi="Verdana" w:cs="Calibri"/>
                <w:bCs/>
                <w:sz w:val="20"/>
                <w:szCs w:val="20"/>
                <w:lang w:val="en-GB" w:eastAsia="en-GB"/>
              </w:rPr>
            </w:pPr>
            <w:r w:rsidRPr="00FF2DDC">
              <w:rPr>
                <w:rFonts w:ascii="Verdana" w:hAnsi="Verdana" w:cs="Calibri"/>
                <w:bCs/>
                <w:sz w:val="20"/>
                <w:szCs w:val="20"/>
                <w:lang w:val="en-GB" w:eastAsia="en-GB"/>
              </w:rPr>
              <w:t>3</w:t>
            </w:r>
          </w:p>
        </w:tc>
        <w:tc>
          <w:tcPr>
            <w:tcW w:w="1560" w:type="dxa"/>
            <w:tcBorders>
              <w:bottom w:val="single" w:sz="12" w:space="0" w:color="000000"/>
            </w:tcBorders>
            <w:shd w:val="clear" w:color="auto" w:fill="auto"/>
            <w:noWrap/>
          </w:tcPr>
          <w:p w14:paraId="49F8585D" w14:textId="77777777" w:rsidR="00B33E0C" w:rsidRPr="00FF2DDC" w:rsidRDefault="00B33E0C" w:rsidP="00E314E4">
            <w:pPr>
              <w:rPr>
                <w:rFonts w:ascii="Verdana" w:hAnsi="Verdana" w:cs="Calibri"/>
                <w:bCs/>
                <w:sz w:val="20"/>
                <w:szCs w:val="20"/>
                <w:lang w:val="en-GB" w:eastAsia="en-GB"/>
              </w:rPr>
            </w:pPr>
            <w:r w:rsidRPr="00FF2DDC">
              <w:rPr>
                <w:rFonts w:ascii="Verdana" w:hAnsi="Verdana" w:cs="Calibri"/>
                <w:bCs/>
                <w:sz w:val="20"/>
                <w:szCs w:val="20"/>
                <w:lang w:val="en-GB" w:eastAsia="en-GB"/>
              </w:rPr>
              <w:t>4</w:t>
            </w:r>
          </w:p>
        </w:tc>
        <w:tc>
          <w:tcPr>
            <w:tcW w:w="1429" w:type="dxa"/>
            <w:tcBorders>
              <w:bottom w:val="single" w:sz="12" w:space="0" w:color="000000"/>
            </w:tcBorders>
            <w:shd w:val="clear" w:color="auto" w:fill="auto"/>
            <w:noWrap/>
          </w:tcPr>
          <w:p w14:paraId="5762D2C8" w14:textId="77777777" w:rsidR="00B33E0C" w:rsidRPr="00FF2DDC" w:rsidRDefault="00B33E0C" w:rsidP="00E314E4">
            <w:pPr>
              <w:rPr>
                <w:rFonts w:ascii="Verdana" w:hAnsi="Verdana" w:cs="Calibri"/>
                <w:bCs/>
                <w:sz w:val="20"/>
                <w:szCs w:val="20"/>
                <w:lang w:val="en-GB" w:eastAsia="en-GB"/>
              </w:rPr>
            </w:pPr>
            <w:r w:rsidRPr="00FF2DDC">
              <w:rPr>
                <w:rFonts w:ascii="Verdana" w:hAnsi="Verdana" w:cs="Calibri"/>
                <w:bCs/>
                <w:sz w:val="20"/>
                <w:szCs w:val="20"/>
                <w:lang w:val="en-GB" w:eastAsia="en-GB"/>
              </w:rPr>
              <w:t>5</w:t>
            </w:r>
          </w:p>
        </w:tc>
        <w:tc>
          <w:tcPr>
            <w:tcW w:w="1406" w:type="dxa"/>
            <w:tcBorders>
              <w:bottom w:val="single" w:sz="12" w:space="0" w:color="000000"/>
            </w:tcBorders>
            <w:shd w:val="clear" w:color="auto" w:fill="auto"/>
            <w:noWrap/>
          </w:tcPr>
          <w:p w14:paraId="053D2B2F" w14:textId="3E38C87C" w:rsidR="00B33E0C" w:rsidRPr="00FF2DDC" w:rsidRDefault="00B33E0C" w:rsidP="00C96D02">
            <w:pPr>
              <w:rPr>
                <w:rFonts w:ascii="Verdana" w:hAnsi="Verdana" w:cs="Calibri"/>
                <w:bCs/>
                <w:sz w:val="20"/>
                <w:szCs w:val="20"/>
                <w:lang w:val="en-GB" w:eastAsia="en-GB"/>
              </w:rPr>
            </w:pPr>
            <w:r w:rsidRPr="00FF2DDC">
              <w:rPr>
                <w:rFonts w:ascii="Verdana" w:hAnsi="Verdana" w:cs="Calibri"/>
                <w:bCs/>
                <w:sz w:val="20"/>
                <w:szCs w:val="20"/>
                <w:lang w:val="en-GB" w:eastAsia="en-GB"/>
              </w:rPr>
              <w:t xml:space="preserve">6 = 5 / </w:t>
            </w:r>
            <w:r w:rsidR="00C96D02">
              <w:rPr>
                <w:rFonts w:ascii="Verdana" w:hAnsi="Verdana" w:cs="Calibri"/>
                <w:bCs/>
                <w:sz w:val="20"/>
                <w:szCs w:val="20"/>
                <w:lang w:val="en-GB" w:eastAsia="en-GB"/>
              </w:rPr>
              <w:t>3</w:t>
            </w:r>
          </w:p>
        </w:tc>
      </w:tr>
      <w:tr w:rsidR="00E314E4" w:rsidRPr="00FF2DDC" w14:paraId="39CBC8AC" w14:textId="77777777" w:rsidTr="003201DA">
        <w:trPr>
          <w:trHeight w:val="255"/>
        </w:trPr>
        <w:tc>
          <w:tcPr>
            <w:tcW w:w="979" w:type="dxa"/>
            <w:shd w:val="clear" w:color="auto" w:fill="auto"/>
            <w:noWrap/>
          </w:tcPr>
          <w:p w14:paraId="3C83C229" w14:textId="77777777" w:rsidR="00B33E0C" w:rsidRPr="00FF2DDC" w:rsidRDefault="00B33E0C" w:rsidP="00E314E4">
            <w:pPr>
              <w:rPr>
                <w:rFonts w:ascii="Verdana" w:hAnsi="Verdana" w:cs="Calibri"/>
                <w:sz w:val="20"/>
                <w:szCs w:val="20"/>
                <w:lang w:eastAsia="en-GB"/>
              </w:rPr>
            </w:pPr>
            <w:r w:rsidRPr="00FF2DDC">
              <w:rPr>
                <w:rFonts w:ascii="Verdana" w:hAnsi="Verdana" w:cs="Calibri"/>
                <w:sz w:val="20"/>
                <w:szCs w:val="20"/>
                <w:lang w:eastAsia="en-GB"/>
              </w:rPr>
              <w:t> </w:t>
            </w:r>
          </w:p>
        </w:tc>
        <w:tc>
          <w:tcPr>
            <w:tcW w:w="2835" w:type="dxa"/>
            <w:shd w:val="clear" w:color="auto" w:fill="auto"/>
            <w:noWrap/>
          </w:tcPr>
          <w:p w14:paraId="25BC69D3" w14:textId="77777777" w:rsidR="00B33E0C" w:rsidRPr="00FF2DDC" w:rsidRDefault="00B33E0C" w:rsidP="0020566B">
            <w:pPr>
              <w:rPr>
                <w:rFonts w:ascii="Verdana" w:hAnsi="Verdana" w:cs="Calibri"/>
                <w:sz w:val="20"/>
                <w:szCs w:val="20"/>
                <w:lang w:val="de-DE" w:eastAsia="en-GB"/>
              </w:rPr>
            </w:pPr>
            <w:r w:rsidRPr="00FF2DDC">
              <w:rPr>
                <w:rFonts w:ascii="Verdana" w:hAnsi="Verdana" w:cs="Calibri"/>
                <w:sz w:val="20"/>
                <w:szCs w:val="20"/>
                <w:lang w:val="de-DE" w:eastAsia="en-GB"/>
              </w:rPr>
              <w:t xml:space="preserve">02 – </w:t>
            </w:r>
            <w:proofErr w:type="spellStart"/>
            <w:r w:rsidRPr="00FF2DDC">
              <w:rPr>
                <w:rFonts w:ascii="Verdana" w:hAnsi="Verdana" w:cs="Calibri"/>
                <w:sz w:val="20"/>
                <w:szCs w:val="20"/>
                <w:lang w:val="de-DE" w:eastAsia="en-GB"/>
              </w:rPr>
              <w:t>Visoko</w:t>
            </w:r>
            <w:proofErr w:type="spellEnd"/>
            <w:r w:rsidRPr="00FF2DDC">
              <w:rPr>
                <w:rFonts w:ascii="Verdana" w:hAnsi="Verdana" w:cs="Calibri"/>
                <w:sz w:val="20"/>
                <w:szCs w:val="20"/>
                <w:lang w:val="de-DE" w:eastAsia="en-GB"/>
              </w:rPr>
              <w:t xml:space="preserve"> </w:t>
            </w:r>
            <w:proofErr w:type="spellStart"/>
            <w:r w:rsidRPr="00FF2DDC">
              <w:rPr>
                <w:rFonts w:ascii="Verdana" w:hAnsi="Verdana" w:cs="Calibri"/>
                <w:sz w:val="20"/>
                <w:szCs w:val="20"/>
                <w:lang w:val="de-DE" w:eastAsia="en-GB"/>
              </w:rPr>
              <w:t>šolstvo</w:t>
            </w:r>
            <w:proofErr w:type="spellEnd"/>
            <w:r w:rsidRPr="00FF2DDC">
              <w:rPr>
                <w:rFonts w:ascii="Verdana" w:hAnsi="Verdana" w:cs="Calibri"/>
                <w:sz w:val="20"/>
                <w:szCs w:val="20"/>
                <w:lang w:val="de-DE" w:eastAsia="en-GB"/>
              </w:rPr>
              <w:t xml:space="preserve">, </w:t>
            </w:r>
            <w:proofErr w:type="spellStart"/>
            <w:r w:rsidRPr="00FF2DDC">
              <w:rPr>
                <w:rFonts w:ascii="Verdana" w:hAnsi="Verdana" w:cs="Calibri"/>
                <w:sz w:val="20"/>
                <w:szCs w:val="20"/>
                <w:lang w:val="de-DE" w:eastAsia="en-GB"/>
              </w:rPr>
              <w:t>znanost</w:t>
            </w:r>
            <w:proofErr w:type="spellEnd"/>
            <w:r w:rsidRPr="00FF2DDC">
              <w:rPr>
                <w:rFonts w:ascii="Verdana" w:hAnsi="Verdana" w:cs="Calibri"/>
                <w:sz w:val="20"/>
                <w:szCs w:val="20"/>
                <w:lang w:val="de-DE" w:eastAsia="en-GB"/>
              </w:rPr>
              <w:t xml:space="preserve">, </w:t>
            </w:r>
            <w:proofErr w:type="spellStart"/>
            <w:r w:rsidRPr="00FF2DDC">
              <w:rPr>
                <w:rFonts w:ascii="Verdana" w:hAnsi="Verdana" w:cs="Calibri"/>
                <w:sz w:val="20"/>
                <w:szCs w:val="20"/>
                <w:lang w:val="de-DE" w:eastAsia="en-GB"/>
              </w:rPr>
              <w:t>tehnologija</w:t>
            </w:r>
            <w:proofErr w:type="spellEnd"/>
            <w:r w:rsidRPr="00FF2DDC">
              <w:rPr>
                <w:rFonts w:ascii="Verdana" w:hAnsi="Verdana" w:cs="Calibri"/>
                <w:sz w:val="20"/>
                <w:szCs w:val="20"/>
                <w:lang w:val="de-DE" w:eastAsia="en-GB"/>
              </w:rPr>
              <w:t xml:space="preserve"> in </w:t>
            </w:r>
            <w:proofErr w:type="spellStart"/>
            <w:r w:rsidRPr="00FF2DDC">
              <w:rPr>
                <w:rFonts w:ascii="Verdana" w:hAnsi="Verdana" w:cs="Calibri"/>
                <w:sz w:val="20"/>
                <w:szCs w:val="20"/>
                <w:lang w:val="de-DE" w:eastAsia="en-GB"/>
              </w:rPr>
              <w:t>informacijska</w:t>
            </w:r>
            <w:proofErr w:type="spellEnd"/>
            <w:r w:rsidRPr="00FF2DDC">
              <w:rPr>
                <w:rFonts w:ascii="Verdana" w:hAnsi="Verdana" w:cs="Calibri"/>
                <w:sz w:val="20"/>
                <w:szCs w:val="20"/>
                <w:lang w:val="de-DE" w:eastAsia="en-GB"/>
              </w:rPr>
              <w:t xml:space="preserve"> </w:t>
            </w:r>
            <w:proofErr w:type="spellStart"/>
            <w:r w:rsidRPr="00FF2DDC">
              <w:rPr>
                <w:rFonts w:ascii="Verdana" w:hAnsi="Verdana" w:cs="Calibri"/>
                <w:sz w:val="20"/>
                <w:szCs w:val="20"/>
                <w:lang w:val="de-DE" w:eastAsia="en-GB"/>
              </w:rPr>
              <w:t>družba</w:t>
            </w:r>
            <w:proofErr w:type="spellEnd"/>
          </w:p>
        </w:tc>
        <w:tc>
          <w:tcPr>
            <w:tcW w:w="1397" w:type="dxa"/>
            <w:shd w:val="clear" w:color="auto" w:fill="auto"/>
            <w:noWrap/>
          </w:tcPr>
          <w:p w14:paraId="48348FB4" w14:textId="77777777" w:rsidR="00B33E0C" w:rsidRPr="00FF2DDC" w:rsidRDefault="00B33E0C" w:rsidP="00E314E4">
            <w:pPr>
              <w:rPr>
                <w:rFonts w:ascii="Verdana" w:hAnsi="Verdana" w:cs="Calibri"/>
                <w:bCs/>
                <w:sz w:val="20"/>
                <w:szCs w:val="20"/>
                <w:lang w:val="it-IT" w:eastAsia="en-GB"/>
              </w:rPr>
            </w:pPr>
          </w:p>
        </w:tc>
        <w:tc>
          <w:tcPr>
            <w:tcW w:w="1560" w:type="dxa"/>
            <w:shd w:val="clear" w:color="auto" w:fill="auto"/>
            <w:noWrap/>
          </w:tcPr>
          <w:p w14:paraId="2379D43E" w14:textId="77777777" w:rsidR="00B33E0C" w:rsidRPr="00FF2DDC" w:rsidRDefault="00B33E0C" w:rsidP="00E314E4">
            <w:pPr>
              <w:rPr>
                <w:rFonts w:ascii="Verdana" w:hAnsi="Verdana" w:cs="Calibri"/>
                <w:bCs/>
                <w:sz w:val="20"/>
                <w:szCs w:val="20"/>
                <w:lang w:val="it-IT" w:eastAsia="en-GB"/>
              </w:rPr>
            </w:pPr>
          </w:p>
        </w:tc>
        <w:tc>
          <w:tcPr>
            <w:tcW w:w="1429" w:type="dxa"/>
            <w:shd w:val="clear" w:color="auto" w:fill="auto"/>
            <w:noWrap/>
          </w:tcPr>
          <w:p w14:paraId="13D01EED" w14:textId="77777777" w:rsidR="00B33E0C" w:rsidRPr="00FF2DDC" w:rsidRDefault="00B33E0C" w:rsidP="00E314E4">
            <w:pPr>
              <w:rPr>
                <w:rFonts w:ascii="Verdana" w:hAnsi="Verdana" w:cs="Calibri"/>
                <w:bCs/>
                <w:sz w:val="20"/>
                <w:szCs w:val="20"/>
                <w:lang w:val="it-IT" w:eastAsia="en-GB"/>
              </w:rPr>
            </w:pPr>
          </w:p>
        </w:tc>
        <w:tc>
          <w:tcPr>
            <w:tcW w:w="1406" w:type="dxa"/>
            <w:shd w:val="clear" w:color="auto" w:fill="auto"/>
            <w:noWrap/>
          </w:tcPr>
          <w:p w14:paraId="323F19C1" w14:textId="77777777" w:rsidR="00B33E0C" w:rsidRPr="00FF2DDC" w:rsidRDefault="00B33E0C" w:rsidP="00E314E4">
            <w:pPr>
              <w:rPr>
                <w:rFonts w:ascii="Verdana" w:hAnsi="Verdana" w:cs="Calibri"/>
                <w:bCs/>
                <w:sz w:val="20"/>
                <w:szCs w:val="20"/>
                <w:lang w:val="it-IT" w:eastAsia="en-GB"/>
              </w:rPr>
            </w:pPr>
          </w:p>
        </w:tc>
      </w:tr>
      <w:tr w:rsidR="00E314E4" w:rsidRPr="00FF2DDC" w14:paraId="71900812" w14:textId="77777777" w:rsidTr="003201DA">
        <w:trPr>
          <w:trHeight w:val="255"/>
        </w:trPr>
        <w:tc>
          <w:tcPr>
            <w:tcW w:w="979" w:type="dxa"/>
            <w:shd w:val="clear" w:color="auto" w:fill="auto"/>
            <w:noWrap/>
          </w:tcPr>
          <w:p w14:paraId="59DE33DE" w14:textId="77777777" w:rsidR="00B33E0C" w:rsidRPr="00FF2DDC" w:rsidRDefault="00B33E0C" w:rsidP="00E314E4">
            <w:pPr>
              <w:rPr>
                <w:rFonts w:ascii="Verdana" w:hAnsi="Verdana" w:cs="Calibri"/>
                <w:sz w:val="20"/>
                <w:szCs w:val="20"/>
                <w:lang w:val="de-DE" w:eastAsia="en-GB"/>
              </w:rPr>
            </w:pPr>
            <w:r w:rsidRPr="00FF2DDC">
              <w:rPr>
                <w:rFonts w:ascii="Verdana" w:hAnsi="Verdana" w:cs="Calibri"/>
                <w:sz w:val="20"/>
                <w:szCs w:val="20"/>
                <w:lang w:val="de-DE" w:eastAsia="en-GB"/>
              </w:rPr>
              <w:t> </w:t>
            </w:r>
          </w:p>
        </w:tc>
        <w:tc>
          <w:tcPr>
            <w:tcW w:w="2835" w:type="dxa"/>
            <w:shd w:val="clear" w:color="auto" w:fill="auto"/>
            <w:noWrap/>
          </w:tcPr>
          <w:p w14:paraId="3C78AD21" w14:textId="77777777" w:rsidR="00B33E0C" w:rsidRPr="00FF2DDC" w:rsidRDefault="00B33E0C" w:rsidP="0020566B">
            <w:pPr>
              <w:rPr>
                <w:rFonts w:ascii="Verdana" w:hAnsi="Verdana" w:cs="Calibri"/>
                <w:bCs/>
                <w:sz w:val="20"/>
                <w:szCs w:val="20"/>
                <w:lang w:eastAsia="en-GB"/>
              </w:rPr>
            </w:pPr>
            <w:r w:rsidRPr="00FF2DDC">
              <w:rPr>
                <w:rFonts w:ascii="Verdana" w:hAnsi="Verdana" w:cs="Calibri"/>
                <w:bCs/>
                <w:sz w:val="20"/>
                <w:szCs w:val="20"/>
                <w:lang w:eastAsia="en-GB"/>
              </w:rPr>
              <w:t>0201 – Visoko šolstvo</w:t>
            </w:r>
          </w:p>
        </w:tc>
        <w:tc>
          <w:tcPr>
            <w:tcW w:w="1397" w:type="dxa"/>
            <w:shd w:val="clear" w:color="auto" w:fill="auto"/>
            <w:noWrap/>
          </w:tcPr>
          <w:p w14:paraId="7C96B0E3" w14:textId="77777777" w:rsidR="00B33E0C" w:rsidRPr="00FF2DDC" w:rsidRDefault="00B33E0C" w:rsidP="00E314E4">
            <w:pPr>
              <w:rPr>
                <w:rFonts w:ascii="Verdana" w:hAnsi="Verdana" w:cs="Calibri"/>
                <w:sz w:val="20"/>
                <w:szCs w:val="20"/>
                <w:lang w:val="it-IT" w:eastAsia="en-GB"/>
              </w:rPr>
            </w:pPr>
          </w:p>
        </w:tc>
        <w:tc>
          <w:tcPr>
            <w:tcW w:w="1560" w:type="dxa"/>
            <w:shd w:val="clear" w:color="auto" w:fill="auto"/>
            <w:noWrap/>
          </w:tcPr>
          <w:p w14:paraId="3C0CF5DE" w14:textId="77777777" w:rsidR="00B33E0C" w:rsidRPr="00FF2DDC" w:rsidRDefault="00B33E0C" w:rsidP="00E314E4">
            <w:pPr>
              <w:rPr>
                <w:rFonts w:ascii="Verdana" w:hAnsi="Verdana" w:cs="Calibri"/>
                <w:sz w:val="20"/>
                <w:szCs w:val="20"/>
                <w:lang w:val="it-IT" w:eastAsia="en-GB"/>
              </w:rPr>
            </w:pPr>
          </w:p>
        </w:tc>
        <w:tc>
          <w:tcPr>
            <w:tcW w:w="1429" w:type="dxa"/>
            <w:shd w:val="clear" w:color="auto" w:fill="auto"/>
            <w:noWrap/>
          </w:tcPr>
          <w:p w14:paraId="584113CC" w14:textId="77777777" w:rsidR="00B33E0C" w:rsidRPr="00FF2DDC" w:rsidRDefault="00B33E0C" w:rsidP="00E314E4">
            <w:pPr>
              <w:rPr>
                <w:rFonts w:ascii="Verdana" w:hAnsi="Verdana" w:cs="Calibri"/>
                <w:sz w:val="20"/>
                <w:szCs w:val="20"/>
                <w:lang w:val="it-IT" w:eastAsia="en-GB"/>
              </w:rPr>
            </w:pPr>
          </w:p>
        </w:tc>
        <w:tc>
          <w:tcPr>
            <w:tcW w:w="1406" w:type="dxa"/>
            <w:shd w:val="clear" w:color="auto" w:fill="auto"/>
            <w:noWrap/>
          </w:tcPr>
          <w:p w14:paraId="53A16442" w14:textId="77777777" w:rsidR="00B33E0C" w:rsidRPr="00FF2DDC" w:rsidRDefault="00B33E0C" w:rsidP="00E314E4">
            <w:pPr>
              <w:rPr>
                <w:rFonts w:ascii="Verdana" w:hAnsi="Verdana" w:cs="Calibri"/>
                <w:sz w:val="20"/>
                <w:szCs w:val="20"/>
                <w:lang w:val="it-IT" w:eastAsia="en-GB"/>
              </w:rPr>
            </w:pPr>
          </w:p>
        </w:tc>
      </w:tr>
      <w:tr w:rsidR="00E314E4" w:rsidRPr="00FF2DDC" w14:paraId="63CB528C" w14:textId="77777777" w:rsidTr="003201DA">
        <w:trPr>
          <w:trHeight w:val="255"/>
        </w:trPr>
        <w:tc>
          <w:tcPr>
            <w:tcW w:w="979" w:type="dxa"/>
            <w:shd w:val="clear" w:color="auto" w:fill="auto"/>
            <w:noWrap/>
          </w:tcPr>
          <w:p w14:paraId="3D92A169" w14:textId="77777777" w:rsidR="00B33E0C" w:rsidRPr="00FF2DDC" w:rsidRDefault="00B33E0C" w:rsidP="00E314E4">
            <w:pPr>
              <w:rPr>
                <w:rFonts w:ascii="Verdana" w:hAnsi="Verdana" w:cs="Calibri"/>
                <w:sz w:val="20"/>
                <w:szCs w:val="20"/>
                <w:lang w:eastAsia="en-GB"/>
              </w:rPr>
            </w:pPr>
            <w:r w:rsidRPr="00FF2DDC">
              <w:rPr>
                <w:rFonts w:ascii="Verdana" w:hAnsi="Verdana" w:cs="Calibri"/>
                <w:sz w:val="20"/>
                <w:szCs w:val="20"/>
                <w:lang w:eastAsia="en-GB"/>
              </w:rPr>
              <w:t> </w:t>
            </w:r>
          </w:p>
        </w:tc>
        <w:tc>
          <w:tcPr>
            <w:tcW w:w="2835" w:type="dxa"/>
            <w:shd w:val="clear" w:color="auto" w:fill="auto"/>
            <w:noWrap/>
          </w:tcPr>
          <w:p w14:paraId="3D471130" w14:textId="77777777" w:rsidR="00B33E0C" w:rsidRPr="00FF2DDC" w:rsidRDefault="00B33E0C" w:rsidP="0020566B">
            <w:pPr>
              <w:rPr>
                <w:rFonts w:ascii="Verdana" w:hAnsi="Verdana" w:cs="Calibri"/>
                <w:bCs/>
                <w:sz w:val="20"/>
                <w:szCs w:val="20"/>
                <w:lang w:eastAsia="en-GB"/>
              </w:rPr>
            </w:pPr>
            <w:r w:rsidRPr="00FF2DDC">
              <w:rPr>
                <w:rFonts w:ascii="Verdana" w:hAnsi="Verdana" w:cs="Calibri"/>
                <w:bCs/>
                <w:sz w:val="20"/>
                <w:szCs w:val="20"/>
                <w:lang w:eastAsia="en-GB"/>
              </w:rPr>
              <w:t>020101 – Visokošolsko izobraževanje</w:t>
            </w:r>
          </w:p>
        </w:tc>
        <w:tc>
          <w:tcPr>
            <w:tcW w:w="1397" w:type="dxa"/>
            <w:shd w:val="clear" w:color="auto" w:fill="auto"/>
            <w:noWrap/>
          </w:tcPr>
          <w:p w14:paraId="6A6B2252" w14:textId="77777777" w:rsidR="00B33E0C" w:rsidRPr="00FF2DDC" w:rsidRDefault="00B33E0C" w:rsidP="00E314E4">
            <w:pPr>
              <w:rPr>
                <w:rFonts w:ascii="Verdana" w:hAnsi="Verdana" w:cs="Calibri"/>
                <w:bCs/>
                <w:sz w:val="20"/>
                <w:szCs w:val="20"/>
              </w:rPr>
            </w:pPr>
          </w:p>
        </w:tc>
        <w:tc>
          <w:tcPr>
            <w:tcW w:w="1560" w:type="dxa"/>
            <w:shd w:val="clear" w:color="auto" w:fill="auto"/>
            <w:noWrap/>
          </w:tcPr>
          <w:p w14:paraId="2B10935C" w14:textId="77777777" w:rsidR="00B33E0C" w:rsidRPr="00FF2DDC" w:rsidRDefault="00B33E0C" w:rsidP="00E314E4">
            <w:pPr>
              <w:rPr>
                <w:rFonts w:ascii="Verdana" w:hAnsi="Verdana" w:cs="Calibri"/>
                <w:bCs/>
                <w:sz w:val="20"/>
                <w:szCs w:val="20"/>
              </w:rPr>
            </w:pPr>
          </w:p>
        </w:tc>
        <w:tc>
          <w:tcPr>
            <w:tcW w:w="1429" w:type="dxa"/>
            <w:shd w:val="clear" w:color="auto" w:fill="auto"/>
            <w:noWrap/>
          </w:tcPr>
          <w:p w14:paraId="35F1F5A8" w14:textId="77777777" w:rsidR="00B33E0C" w:rsidRPr="00FF2DDC" w:rsidRDefault="00B33E0C" w:rsidP="00E314E4">
            <w:pPr>
              <w:rPr>
                <w:rFonts w:ascii="Verdana" w:hAnsi="Verdana" w:cs="Calibri"/>
                <w:bCs/>
                <w:sz w:val="20"/>
                <w:szCs w:val="20"/>
              </w:rPr>
            </w:pPr>
          </w:p>
        </w:tc>
        <w:tc>
          <w:tcPr>
            <w:tcW w:w="1406" w:type="dxa"/>
            <w:shd w:val="clear" w:color="auto" w:fill="auto"/>
            <w:noWrap/>
          </w:tcPr>
          <w:p w14:paraId="1E6A0194" w14:textId="77777777" w:rsidR="00B33E0C" w:rsidRPr="00FF2DDC" w:rsidRDefault="00B33E0C" w:rsidP="00E314E4">
            <w:pPr>
              <w:rPr>
                <w:rFonts w:ascii="Verdana" w:hAnsi="Verdana" w:cs="Calibri"/>
                <w:bCs/>
                <w:sz w:val="20"/>
                <w:szCs w:val="20"/>
              </w:rPr>
            </w:pPr>
          </w:p>
        </w:tc>
      </w:tr>
      <w:tr w:rsidR="00E314E4" w:rsidRPr="00FF2DDC" w14:paraId="446978A7" w14:textId="77777777" w:rsidTr="003201DA">
        <w:trPr>
          <w:trHeight w:val="255"/>
        </w:trPr>
        <w:tc>
          <w:tcPr>
            <w:tcW w:w="979" w:type="dxa"/>
            <w:shd w:val="clear" w:color="auto" w:fill="auto"/>
            <w:noWrap/>
          </w:tcPr>
          <w:p w14:paraId="0A2A9F27" w14:textId="77777777" w:rsidR="00B33E0C" w:rsidRPr="00FF2DDC" w:rsidRDefault="00B33E0C" w:rsidP="00E314E4">
            <w:pPr>
              <w:rPr>
                <w:rFonts w:ascii="Verdana" w:hAnsi="Verdana" w:cs="Calibri"/>
                <w:sz w:val="20"/>
                <w:szCs w:val="20"/>
                <w:lang w:eastAsia="en-GB"/>
              </w:rPr>
            </w:pPr>
            <w:r w:rsidRPr="00FF2DDC">
              <w:rPr>
                <w:rFonts w:ascii="Verdana" w:hAnsi="Verdana" w:cs="Calibri"/>
                <w:sz w:val="20"/>
                <w:szCs w:val="20"/>
                <w:lang w:eastAsia="en-GB"/>
              </w:rPr>
              <w:t>9885</w:t>
            </w:r>
          </w:p>
        </w:tc>
        <w:tc>
          <w:tcPr>
            <w:tcW w:w="2835" w:type="dxa"/>
            <w:shd w:val="clear" w:color="auto" w:fill="auto"/>
            <w:noWrap/>
          </w:tcPr>
          <w:p w14:paraId="202849ED" w14:textId="77777777" w:rsidR="00B33E0C" w:rsidRPr="00FF2DDC" w:rsidRDefault="00B33E0C" w:rsidP="00E314E4">
            <w:pPr>
              <w:rPr>
                <w:rFonts w:ascii="Verdana" w:hAnsi="Verdana" w:cs="Calibri"/>
                <w:sz w:val="20"/>
                <w:szCs w:val="20"/>
                <w:lang w:eastAsia="en-GB"/>
              </w:rPr>
            </w:pPr>
            <w:r w:rsidRPr="00FF2DDC">
              <w:rPr>
                <w:rFonts w:ascii="Verdana" w:hAnsi="Verdana" w:cs="Calibri"/>
                <w:sz w:val="20"/>
                <w:szCs w:val="20"/>
                <w:lang w:eastAsia="en-GB"/>
              </w:rPr>
              <w:t>Plače</w:t>
            </w:r>
          </w:p>
        </w:tc>
        <w:tc>
          <w:tcPr>
            <w:tcW w:w="1397" w:type="dxa"/>
            <w:shd w:val="clear" w:color="auto" w:fill="auto"/>
            <w:noWrap/>
          </w:tcPr>
          <w:p w14:paraId="44A8C9C3" w14:textId="77777777" w:rsidR="00B33E0C" w:rsidRPr="00FF2DDC" w:rsidRDefault="00B33E0C" w:rsidP="00E314E4">
            <w:pPr>
              <w:rPr>
                <w:rFonts w:ascii="Verdana" w:hAnsi="Verdana" w:cs="Calibri"/>
                <w:sz w:val="20"/>
                <w:szCs w:val="20"/>
              </w:rPr>
            </w:pPr>
            <w:r w:rsidRPr="00FF2DDC">
              <w:rPr>
                <w:rFonts w:ascii="Verdana" w:hAnsi="Verdana" w:cs="Calibri"/>
                <w:sz w:val="20"/>
                <w:szCs w:val="20"/>
              </w:rPr>
              <w:t>635.704,94</w:t>
            </w:r>
          </w:p>
        </w:tc>
        <w:tc>
          <w:tcPr>
            <w:tcW w:w="1560" w:type="dxa"/>
            <w:shd w:val="clear" w:color="auto" w:fill="auto"/>
            <w:noWrap/>
          </w:tcPr>
          <w:p w14:paraId="1A510E51" w14:textId="77777777" w:rsidR="00B33E0C" w:rsidRPr="00FF2DDC" w:rsidRDefault="00B33E0C" w:rsidP="00E314E4">
            <w:pPr>
              <w:rPr>
                <w:rFonts w:ascii="Verdana" w:hAnsi="Verdana" w:cs="Calibri"/>
                <w:sz w:val="20"/>
                <w:szCs w:val="20"/>
              </w:rPr>
            </w:pPr>
            <w:r w:rsidRPr="00FF2DDC">
              <w:rPr>
                <w:rFonts w:ascii="Verdana" w:hAnsi="Verdana" w:cs="Calibri"/>
                <w:sz w:val="20"/>
                <w:szCs w:val="20"/>
              </w:rPr>
              <w:t>626.486,60</w:t>
            </w:r>
          </w:p>
        </w:tc>
        <w:tc>
          <w:tcPr>
            <w:tcW w:w="1429" w:type="dxa"/>
            <w:shd w:val="clear" w:color="auto" w:fill="auto"/>
            <w:noWrap/>
          </w:tcPr>
          <w:p w14:paraId="329EF00D" w14:textId="77777777" w:rsidR="00B33E0C" w:rsidRPr="00FF2DDC" w:rsidRDefault="00B33E0C" w:rsidP="00E314E4">
            <w:pPr>
              <w:rPr>
                <w:rFonts w:ascii="Verdana" w:hAnsi="Verdana" w:cs="Calibri"/>
                <w:sz w:val="20"/>
                <w:szCs w:val="20"/>
              </w:rPr>
            </w:pPr>
            <w:r w:rsidRPr="00FF2DDC">
              <w:rPr>
                <w:rFonts w:ascii="Verdana" w:hAnsi="Verdana" w:cs="Calibri"/>
                <w:sz w:val="20"/>
                <w:szCs w:val="20"/>
              </w:rPr>
              <w:t>625.920,00</w:t>
            </w:r>
          </w:p>
        </w:tc>
        <w:tc>
          <w:tcPr>
            <w:tcW w:w="1406" w:type="dxa"/>
            <w:shd w:val="clear" w:color="auto" w:fill="auto"/>
            <w:noWrap/>
          </w:tcPr>
          <w:p w14:paraId="166BE629" w14:textId="77154A92" w:rsidR="00B33E0C" w:rsidRPr="00FF2DDC" w:rsidRDefault="00C96D02" w:rsidP="00E314E4">
            <w:pPr>
              <w:rPr>
                <w:rFonts w:ascii="Verdana" w:hAnsi="Verdana" w:cs="Calibri"/>
                <w:sz w:val="20"/>
                <w:szCs w:val="20"/>
              </w:rPr>
            </w:pPr>
            <w:r>
              <w:rPr>
                <w:rFonts w:ascii="Verdana" w:hAnsi="Verdana" w:cs="Calibri"/>
                <w:sz w:val="20"/>
                <w:szCs w:val="20"/>
              </w:rPr>
              <w:t xml:space="preserve">98 </w:t>
            </w:r>
            <w:r w:rsidR="00B33E0C" w:rsidRPr="00FF2DDC">
              <w:rPr>
                <w:rFonts w:ascii="Verdana" w:hAnsi="Verdana" w:cs="Calibri"/>
                <w:sz w:val="20"/>
                <w:szCs w:val="20"/>
              </w:rPr>
              <w:t>%</w:t>
            </w:r>
          </w:p>
        </w:tc>
      </w:tr>
      <w:tr w:rsidR="00E314E4" w:rsidRPr="00FF2DDC" w14:paraId="70DE8594" w14:textId="77777777" w:rsidTr="003201DA">
        <w:trPr>
          <w:trHeight w:val="255"/>
        </w:trPr>
        <w:tc>
          <w:tcPr>
            <w:tcW w:w="979" w:type="dxa"/>
            <w:shd w:val="clear" w:color="auto" w:fill="auto"/>
            <w:noWrap/>
          </w:tcPr>
          <w:p w14:paraId="7CE12E4D" w14:textId="77777777" w:rsidR="00E314E4" w:rsidRPr="00FF2DDC" w:rsidRDefault="00E314E4" w:rsidP="00E314E4">
            <w:pPr>
              <w:rPr>
                <w:rFonts w:ascii="Verdana" w:hAnsi="Verdana" w:cs="Calibri"/>
                <w:sz w:val="20"/>
                <w:szCs w:val="20"/>
                <w:lang w:eastAsia="en-GB"/>
              </w:rPr>
            </w:pPr>
          </w:p>
        </w:tc>
        <w:tc>
          <w:tcPr>
            <w:tcW w:w="2835" w:type="dxa"/>
            <w:shd w:val="clear" w:color="auto" w:fill="auto"/>
            <w:noWrap/>
          </w:tcPr>
          <w:p w14:paraId="65BA30D0" w14:textId="77777777" w:rsidR="00E314E4" w:rsidRPr="00FF2DDC" w:rsidRDefault="00E314E4" w:rsidP="00E314E4">
            <w:pPr>
              <w:rPr>
                <w:rFonts w:ascii="Verdana" w:hAnsi="Verdana" w:cs="Calibri"/>
                <w:sz w:val="20"/>
                <w:szCs w:val="20"/>
                <w:lang w:eastAsia="en-GB"/>
              </w:rPr>
            </w:pPr>
          </w:p>
        </w:tc>
        <w:tc>
          <w:tcPr>
            <w:tcW w:w="1397" w:type="dxa"/>
            <w:shd w:val="clear" w:color="auto" w:fill="auto"/>
            <w:noWrap/>
          </w:tcPr>
          <w:p w14:paraId="32EF8AAF" w14:textId="77777777" w:rsidR="00E314E4" w:rsidRPr="00FF2DDC" w:rsidRDefault="00E314E4" w:rsidP="00E314E4">
            <w:pPr>
              <w:rPr>
                <w:rFonts w:ascii="Verdana" w:hAnsi="Verdana" w:cs="Calibri"/>
                <w:sz w:val="20"/>
                <w:szCs w:val="20"/>
              </w:rPr>
            </w:pPr>
          </w:p>
        </w:tc>
        <w:tc>
          <w:tcPr>
            <w:tcW w:w="1560" w:type="dxa"/>
            <w:shd w:val="clear" w:color="auto" w:fill="auto"/>
            <w:noWrap/>
          </w:tcPr>
          <w:p w14:paraId="2AA81D5D" w14:textId="77777777" w:rsidR="00E314E4" w:rsidRPr="00FF2DDC" w:rsidRDefault="00E314E4" w:rsidP="00E314E4">
            <w:pPr>
              <w:rPr>
                <w:rFonts w:ascii="Verdana" w:hAnsi="Verdana" w:cs="Calibri"/>
                <w:sz w:val="20"/>
                <w:szCs w:val="20"/>
              </w:rPr>
            </w:pPr>
          </w:p>
        </w:tc>
        <w:tc>
          <w:tcPr>
            <w:tcW w:w="1429" w:type="dxa"/>
            <w:shd w:val="clear" w:color="auto" w:fill="auto"/>
            <w:noWrap/>
          </w:tcPr>
          <w:p w14:paraId="0E7B3EB2" w14:textId="77777777" w:rsidR="00E314E4" w:rsidRPr="00FF2DDC" w:rsidRDefault="00E314E4" w:rsidP="00E314E4">
            <w:pPr>
              <w:rPr>
                <w:rFonts w:ascii="Verdana" w:hAnsi="Verdana" w:cs="Calibri"/>
                <w:sz w:val="20"/>
                <w:szCs w:val="20"/>
              </w:rPr>
            </w:pPr>
          </w:p>
        </w:tc>
        <w:tc>
          <w:tcPr>
            <w:tcW w:w="1406" w:type="dxa"/>
            <w:shd w:val="clear" w:color="auto" w:fill="auto"/>
            <w:noWrap/>
          </w:tcPr>
          <w:p w14:paraId="2920F833" w14:textId="77777777" w:rsidR="00E314E4" w:rsidRPr="00FF2DDC" w:rsidRDefault="00E314E4" w:rsidP="00E314E4">
            <w:pPr>
              <w:rPr>
                <w:rFonts w:ascii="Verdana" w:hAnsi="Verdana" w:cs="Calibri"/>
                <w:sz w:val="20"/>
                <w:szCs w:val="20"/>
              </w:rPr>
            </w:pPr>
          </w:p>
        </w:tc>
      </w:tr>
      <w:tr w:rsidR="00E314E4" w:rsidRPr="00FF2DDC" w14:paraId="5CE41F53" w14:textId="77777777" w:rsidTr="003201DA">
        <w:trPr>
          <w:trHeight w:val="255"/>
        </w:trPr>
        <w:tc>
          <w:tcPr>
            <w:tcW w:w="979" w:type="dxa"/>
            <w:shd w:val="clear" w:color="auto" w:fill="auto"/>
            <w:noWrap/>
          </w:tcPr>
          <w:p w14:paraId="1D467CA1" w14:textId="77777777" w:rsidR="00B33E0C" w:rsidRPr="00FF2DDC" w:rsidRDefault="00B33E0C" w:rsidP="00E314E4">
            <w:pPr>
              <w:rPr>
                <w:rFonts w:ascii="Verdana" w:hAnsi="Verdana" w:cs="Calibri"/>
                <w:sz w:val="20"/>
                <w:szCs w:val="20"/>
                <w:lang w:eastAsia="en-GB"/>
              </w:rPr>
            </w:pPr>
            <w:r w:rsidRPr="00FF2DDC">
              <w:rPr>
                <w:rFonts w:ascii="Verdana" w:hAnsi="Verdana" w:cs="Calibri"/>
                <w:sz w:val="20"/>
                <w:szCs w:val="20"/>
                <w:lang w:eastAsia="en-GB"/>
              </w:rPr>
              <w:t>9886</w:t>
            </w:r>
          </w:p>
        </w:tc>
        <w:tc>
          <w:tcPr>
            <w:tcW w:w="2835" w:type="dxa"/>
            <w:shd w:val="clear" w:color="auto" w:fill="auto"/>
            <w:noWrap/>
          </w:tcPr>
          <w:p w14:paraId="3427FDC9" w14:textId="77777777" w:rsidR="00B33E0C" w:rsidRPr="00FF2DDC" w:rsidRDefault="00B33E0C" w:rsidP="00E314E4">
            <w:pPr>
              <w:rPr>
                <w:rFonts w:ascii="Verdana" w:hAnsi="Verdana" w:cs="Calibri"/>
                <w:sz w:val="20"/>
                <w:szCs w:val="20"/>
                <w:lang w:eastAsia="en-GB"/>
              </w:rPr>
            </w:pPr>
            <w:r w:rsidRPr="00FF2DDC">
              <w:rPr>
                <w:rFonts w:ascii="Verdana" w:hAnsi="Verdana" w:cs="Calibri"/>
                <w:sz w:val="20"/>
                <w:szCs w:val="20"/>
                <w:lang w:eastAsia="en-GB"/>
              </w:rPr>
              <w:t>Materialni stroški</w:t>
            </w:r>
          </w:p>
        </w:tc>
        <w:tc>
          <w:tcPr>
            <w:tcW w:w="1397" w:type="dxa"/>
            <w:shd w:val="clear" w:color="auto" w:fill="auto"/>
            <w:noWrap/>
          </w:tcPr>
          <w:p w14:paraId="7D3FE4ED" w14:textId="77777777" w:rsidR="00B33E0C" w:rsidRPr="00FF2DDC" w:rsidRDefault="00B33E0C" w:rsidP="00E314E4">
            <w:pPr>
              <w:rPr>
                <w:rFonts w:ascii="Verdana" w:hAnsi="Verdana" w:cs="Calibri"/>
                <w:sz w:val="20"/>
                <w:szCs w:val="20"/>
              </w:rPr>
            </w:pPr>
            <w:r w:rsidRPr="00FF2DDC">
              <w:rPr>
                <w:rFonts w:ascii="Verdana" w:hAnsi="Verdana" w:cs="Calibri"/>
                <w:sz w:val="20"/>
                <w:szCs w:val="20"/>
              </w:rPr>
              <w:t>240.625,56</w:t>
            </w:r>
          </w:p>
        </w:tc>
        <w:tc>
          <w:tcPr>
            <w:tcW w:w="1560" w:type="dxa"/>
            <w:shd w:val="clear" w:color="auto" w:fill="auto"/>
            <w:noWrap/>
          </w:tcPr>
          <w:p w14:paraId="173E614B" w14:textId="77777777" w:rsidR="00B33E0C" w:rsidRPr="00FF2DDC" w:rsidRDefault="00B33E0C" w:rsidP="00E314E4">
            <w:pPr>
              <w:rPr>
                <w:rFonts w:ascii="Verdana" w:hAnsi="Verdana" w:cs="Calibri"/>
                <w:sz w:val="20"/>
                <w:szCs w:val="20"/>
              </w:rPr>
            </w:pPr>
            <w:r w:rsidRPr="00FF2DDC">
              <w:rPr>
                <w:rFonts w:ascii="Verdana" w:hAnsi="Verdana" w:cs="Calibri"/>
                <w:sz w:val="20"/>
                <w:szCs w:val="20"/>
              </w:rPr>
              <w:t>272.559,47</w:t>
            </w:r>
          </w:p>
        </w:tc>
        <w:tc>
          <w:tcPr>
            <w:tcW w:w="1429" w:type="dxa"/>
            <w:shd w:val="clear" w:color="auto" w:fill="auto"/>
            <w:noWrap/>
          </w:tcPr>
          <w:p w14:paraId="4F274433" w14:textId="77777777" w:rsidR="00B33E0C" w:rsidRPr="00FF2DDC" w:rsidRDefault="00B33E0C" w:rsidP="00E314E4">
            <w:pPr>
              <w:rPr>
                <w:rFonts w:ascii="Verdana" w:hAnsi="Verdana" w:cs="Calibri"/>
                <w:sz w:val="20"/>
                <w:szCs w:val="20"/>
              </w:rPr>
            </w:pPr>
            <w:r w:rsidRPr="00FF2DDC">
              <w:rPr>
                <w:rFonts w:ascii="Verdana" w:hAnsi="Verdana" w:cs="Calibri"/>
                <w:sz w:val="20"/>
                <w:szCs w:val="20"/>
              </w:rPr>
              <w:t>269.996,22</w:t>
            </w:r>
          </w:p>
        </w:tc>
        <w:tc>
          <w:tcPr>
            <w:tcW w:w="1406" w:type="dxa"/>
            <w:shd w:val="clear" w:color="auto" w:fill="auto"/>
            <w:noWrap/>
          </w:tcPr>
          <w:p w14:paraId="30703D15" w14:textId="7BC3B88C" w:rsidR="00B33E0C" w:rsidRPr="00FF2DDC" w:rsidRDefault="00C96D02" w:rsidP="00E314E4">
            <w:pPr>
              <w:rPr>
                <w:rFonts w:ascii="Verdana" w:hAnsi="Verdana" w:cs="Calibri"/>
                <w:sz w:val="20"/>
                <w:szCs w:val="20"/>
              </w:rPr>
            </w:pPr>
            <w:r>
              <w:rPr>
                <w:rFonts w:ascii="Verdana" w:hAnsi="Verdana" w:cs="Calibri"/>
                <w:sz w:val="20"/>
                <w:szCs w:val="20"/>
              </w:rPr>
              <w:t xml:space="preserve">112 </w:t>
            </w:r>
            <w:r w:rsidR="00B33E0C" w:rsidRPr="00FF2DDC">
              <w:rPr>
                <w:rFonts w:ascii="Verdana" w:hAnsi="Verdana" w:cs="Calibri"/>
                <w:sz w:val="20"/>
                <w:szCs w:val="20"/>
              </w:rPr>
              <w:t>%</w:t>
            </w:r>
          </w:p>
        </w:tc>
      </w:tr>
      <w:tr w:rsidR="00E314E4" w:rsidRPr="00FF2DDC" w14:paraId="0FAC1EA2" w14:textId="77777777" w:rsidTr="003201DA">
        <w:trPr>
          <w:trHeight w:val="255"/>
        </w:trPr>
        <w:tc>
          <w:tcPr>
            <w:tcW w:w="979" w:type="dxa"/>
            <w:shd w:val="clear" w:color="auto" w:fill="auto"/>
            <w:noWrap/>
          </w:tcPr>
          <w:p w14:paraId="3692A50B" w14:textId="77777777" w:rsidR="00B33E0C" w:rsidRPr="00FF2DDC" w:rsidRDefault="00B33E0C" w:rsidP="00E314E4">
            <w:pPr>
              <w:rPr>
                <w:rFonts w:ascii="Verdana" w:hAnsi="Verdana" w:cs="Calibri"/>
                <w:sz w:val="20"/>
                <w:szCs w:val="20"/>
                <w:lang w:eastAsia="en-GB"/>
              </w:rPr>
            </w:pPr>
            <w:r w:rsidRPr="00FF2DDC">
              <w:rPr>
                <w:rFonts w:ascii="Verdana" w:hAnsi="Verdana" w:cs="Calibri"/>
                <w:sz w:val="20"/>
                <w:szCs w:val="20"/>
                <w:lang w:eastAsia="en-GB"/>
              </w:rPr>
              <w:t>9887</w:t>
            </w:r>
          </w:p>
        </w:tc>
        <w:tc>
          <w:tcPr>
            <w:tcW w:w="2835" w:type="dxa"/>
            <w:shd w:val="clear" w:color="auto" w:fill="auto"/>
            <w:noWrap/>
          </w:tcPr>
          <w:p w14:paraId="32D2746F" w14:textId="77777777" w:rsidR="00B33E0C" w:rsidRPr="00FF2DDC" w:rsidRDefault="00B33E0C" w:rsidP="00E314E4">
            <w:pPr>
              <w:rPr>
                <w:rFonts w:ascii="Verdana" w:hAnsi="Verdana" w:cs="Calibri"/>
                <w:sz w:val="20"/>
                <w:szCs w:val="20"/>
                <w:lang w:eastAsia="en-GB"/>
              </w:rPr>
            </w:pPr>
            <w:r w:rsidRPr="00FF2DDC">
              <w:rPr>
                <w:rFonts w:ascii="Verdana" w:hAnsi="Verdana" w:cs="Calibri"/>
                <w:sz w:val="20"/>
                <w:szCs w:val="20"/>
                <w:lang w:eastAsia="en-GB"/>
              </w:rPr>
              <w:t>Investicije</w:t>
            </w:r>
          </w:p>
        </w:tc>
        <w:tc>
          <w:tcPr>
            <w:tcW w:w="1397" w:type="dxa"/>
            <w:shd w:val="clear" w:color="auto" w:fill="auto"/>
            <w:noWrap/>
          </w:tcPr>
          <w:p w14:paraId="4EC98D35" w14:textId="77777777" w:rsidR="00B33E0C" w:rsidRPr="00FF2DDC" w:rsidRDefault="00B33E0C" w:rsidP="00E314E4">
            <w:pPr>
              <w:rPr>
                <w:rFonts w:ascii="Verdana" w:hAnsi="Verdana" w:cs="Calibri"/>
                <w:sz w:val="20"/>
                <w:szCs w:val="20"/>
              </w:rPr>
            </w:pPr>
            <w:r w:rsidRPr="00FF2DDC">
              <w:rPr>
                <w:rFonts w:ascii="Verdana" w:hAnsi="Verdana" w:cs="Calibri"/>
                <w:sz w:val="20"/>
                <w:szCs w:val="20"/>
              </w:rPr>
              <w:t>53.300,00</w:t>
            </w:r>
          </w:p>
        </w:tc>
        <w:tc>
          <w:tcPr>
            <w:tcW w:w="1560" w:type="dxa"/>
            <w:shd w:val="clear" w:color="auto" w:fill="auto"/>
            <w:noWrap/>
          </w:tcPr>
          <w:p w14:paraId="253AFDA7" w14:textId="77777777" w:rsidR="00B33E0C" w:rsidRPr="00FF2DDC" w:rsidRDefault="00B33E0C" w:rsidP="00E314E4">
            <w:pPr>
              <w:rPr>
                <w:rFonts w:ascii="Verdana" w:hAnsi="Verdana" w:cs="Calibri"/>
                <w:sz w:val="20"/>
                <w:szCs w:val="20"/>
              </w:rPr>
            </w:pPr>
            <w:r w:rsidRPr="00FF2DDC">
              <w:rPr>
                <w:rFonts w:ascii="Verdana" w:hAnsi="Verdana" w:cs="Calibri"/>
                <w:sz w:val="20"/>
                <w:szCs w:val="20"/>
              </w:rPr>
              <w:t>45.496,77</w:t>
            </w:r>
          </w:p>
        </w:tc>
        <w:tc>
          <w:tcPr>
            <w:tcW w:w="1429" w:type="dxa"/>
            <w:shd w:val="clear" w:color="auto" w:fill="auto"/>
            <w:noWrap/>
          </w:tcPr>
          <w:p w14:paraId="6321A983" w14:textId="77777777" w:rsidR="00B33E0C" w:rsidRPr="00FF2DDC" w:rsidRDefault="00B33E0C" w:rsidP="00E314E4">
            <w:pPr>
              <w:rPr>
                <w:rFonts w:ascii="Verdana" w:hAnsi="Verdana" w:cs="Calibri"/>
                <w:sz w:val="20"/>
                <w:szCs w:val="20"/>
              </w:rPr>
            </w:pPr>
            <w:r w:rsidRPr="00FF2DDC">
              <w:rPr>
                <w:rFonts w:ascii="Verdana" w:hAnsi="Verdana" w:cs="Calibri"/>
                <w:sz w:val="20"/>
                <w:szCs w:val="20"/>
              </w:rPr>
              <w:t>45.496,77</w:t>
            </w:r>
          </w:p>
        </w:tc>
        <w:tc>
          <w:tcPr>
            <w:tcW w:w="1406" w:type="dxa"/>
            <w:shd w:val="clear" w:color="auto" w:fill="auto"/>
            <w:noWrap/>
          </w:tcPr>
          <w:p w14:paraId="1D70E91F" w14:textId="19026C92" w:rsidR="00B33E0C" w:rsidRPr="00FF2DDC" w:rsidRDefault="00C96D02" w:rsidP="00E314E4">
            <w:pPr>
              <w:rPr>
                <w:rFonts w:ascii="Verdana" w:hAnsi="Verdana" w:cs="Calibri"/>
                <w:sz w:val="20"/>
                <w:szCs w:val="20"/>
              </w:rPr>
            </w:pPr>
            <w:r>
              <w:rPr>
                <w:rFonts w:ascii="Verdana" w:hAnsi="Verdana" w:cs="Calibri"/>
                <w:sz w:val="20"/>
                <w:szCs w:val="20"/>
              </w:rPr>
              <w:t xml:space="preserve">85 </w:t>
            </w:r>
            <w:r w:rsidR="00B33E0C" w:rsidRPr="00FF2DDC">
              <w:rPr>
                <w:rFonts w:ascii="Verdana" w:hAnsi="Verdana" w:cs="Calibri"/>
                <w:sz w:val="20"/>
                <w:szCs w:val="20"/>
              </w:rPr>
              <w:t>%</w:t>
            </w:r>
          </w:p>
        </w:tc>
      </w:tr>
      <w:tr w:rsidR="00E314E4" w:rsidRPr="00FF2DDC" w14:paraId="11BADA28" w14:textId="77777777" w:rsidTr="003201DA">
        <w:trPr>
          <w:trHeight w:val="255"/>
        </w:trPr>
        <w:tc>
          <w:tcPr>
            <w:tcW w:w="979" w:type="dxa"/>
            <w:shd w:val="clear" w:color="auto" w:fill="auto"/>
            <w:noWrap/>
          </w:tcPr>
          <w:p w14:paraId="591FF48F" w14:textId="77777777" w:rsidR="00B33E0C" w:rsidRPr="00FF2DDC" w:rsidRDefault="00B33E0C" w:rsidP="00E314E4">
            <w:pPr>
              <w:rPr>
                <w:rFonts w:ascii="Verdana" w:hAnsi="Verdana" w:cs="Calibri"/>
                <w:sz w:val="20"/>
                <w:szCs w:val="20"/>
                <w:lang w:eastAsia="en-GB"/>
              </w:rPr>
            </w:pPr>
            <w:r w:rsidRPr="00FF2DDC">
              <w:rPr>
                <w:rFonts w:ascii="Verdana" w:hAnsi="Verdana" w:cs="Calibri"/>
                <w:sz w:val="20"/>
                <w:szCs w:val="20"/>
                <w:lang w:eastAsia="en-GB"/>
              </w:rPr>
              <w:t>9888</w:t>
            </w:r>
          </w:p>
        </w:tc>
        <w:tc>
          <w:tcPr>
            <w:tcW w:w="2835" w:type="dxa"/>
            <w:shd w:val="clear" w:color="auto" w:fill="auto"/>
            <w:noWrap/>
          </w:tcPr>
          <w:p w14:paraId="39F5E545" w14:textId="77777777" w:rsidR="00B33E0C" w:rsidRPr="00FF2DDC" w:rsidRDefault="00B33E0C" w:rsidP="00E314E4">
            <w:pPr>
              <w:rPr>
                <w:rFonts w:ascii="Verdana" w:hAnsi="Verdana" w:cs="Calibri"/>
                <w:sz w:val="20"/>
                <w:szCs w:val="20"/>
                <w:lang w:eastAsia="en-GB"/>
              </w:rPr>
            </w:pPr>
            <w:r w:rsidRPr="00FF2DDC">
              <w:rPr>
                <w:rFonts w:ascii="Verdana" w:hAnsi="Verdana" w:cs="Calibri"/>
                <w:sz w:val="20"/>
                <w:szCs w:val="20"/>
                <w:lang w:eastAsia="en-GB"/>
              </w:rPr>
              <w:t>Kakovost visokega šolstva</w:t>
            </w:r>
          </w:p>
        </w:tc>
        <w:tc>
          <w:tcPr>
            <w:tcW w:w="1397" w:type="dxa"/>
            <w:shd w:val="clear" w:color="auto" w:fill="auto"/>
            <w:noWrap/>
          </w:tcPr>
          <w:p w14:paraId="2969614F" w14:textId="77777777" w:rsidR="00B33E0C" w:rsidRPr="00FF2DDC" w:rsidRDefault="00B33E0C" w:rsidP="00E314E4">
            <w:pPr>
              <w:rPr>
                <w:rFonts w:ascii="Verdana" w:hAnsi="Verdana" w:cs="Calibri"/>
                <w:sz w:val="20"/>
                <w:szCs w:val="20"/>
              </w:rPr>
            </w:pPr>
            <w:r w:rsidRPr="00FF2DDC">
              <w:rPr>
                <w:rFonts w:ascii="Verdana" w:hAnsi="Verdana" w:cs="Calibri"/>
                <w:sz w:val="20"/>
                <w:szCs w:val="20"/>
              </w:rPr>
              <w:t>357.110,11</w:t>
            </w:r>
          </w:p>
        </w:tc>
        <w:tc>
          <w:tcPr>
            <w:tcW w:w="1560" w:type="dxa"/>
            <w:shd w:val="clear" w:color="auto" w:fill="auto"/>
            <w:noWrap/>
          </w:tcPr>
          <w:p w14:paraId="4AC6D3FD" w14:textId="77777777" w:rsidR="00B33E0C" w:rsidRPr="00FF2DDC" w:rsidRDefault="00B33E0C" w:rsidP="00E314E4">
            <w:pPr>
              <w:rPr>
                <w:rFonts w:ascii="Verdana" w:hAnsi="Verdana" w:cs="Calibri"/>
                <w:sz w:val="20"/>
                <w:szCs w:val="20"/>
              </w:rPr>
            </w:pPr>
            <w:r w:rsidRPr="00FF2DDC">
              <w:rPr>
                <w:rFonts w:ascii="Verdana" w:hAnsi="Verdana" w:cs="Calibri"/>
                <w:sz w:val="20"/>
                <w:szCs w:val="20"/>
              </w:rPr>
              <w:t>160.750,85</w:t>
            </w:r>
          </w:p>
        </w:tc>
        <w:tc>
          <w:tcPr>
            <w:tcW w:w="1429" w:type="dxa"/>
            <w:shd w:val="clear" w:color="auto" w:fill="auto"/>
            <w:noWrap/>
          </w:tcPr>
          <w:p w14:paraId="48BF64E8" w14:textId="77777777" w:rsidR="00B33E0C" w:rsidRPr="00FF2DDC" w:rsidRDefault="00B33E0C" w:rsidP="00E314E4">
            <w:pPr>
              <w:rPr>
                <w:rFonts w:ascii="Verdana" w:hAnsi="Verdana" w:cs="Calibri"/>
                <w:sz w:val="20"/>
                <w:szCs w:val="20"/>
              </w:rPr>
            </w:pPr>
            <w:r w:rsidRPr="00FF2DDC">
              <w:rPr>
                <w:rFonts w:ascii="Verdana" w:hAnsi="Verdana" w:cs="Calibri"/>
                <w:sz w:val="20"/>
                <w:szCs w:val="20"/>
              </w:rPr>
              <w:t>158.212,88</w:t>
            </w:r>
          </w:p>
        </w:tc>
        <w:tc>
          <w:tcPr>
            <w:tcW w:w="1406" w:type="dxa"/>
            <w:shd w:val="clear" w:color="auto" w:fill="auto"/>
            <w:noWrap/>
          </w:tcPr>
          <w:p w14:paraId="718EE382" w14:textId="245E0270" w:rsidR="00B33E0C" w:rsidRPr="00FF2DDC" w:rsidRDefault="00C96D02" w:rsidP="00E314E4">
            <w:pPr>
              <w:rPr>
                <w:rFonts w:ascii="Verdana" w:hAnsi="Verdana" w:cs="Calibri"/>
                <w:sz w:val="20"/>
                <w:szCs w:val="20"/>
              </w:rPr>
            </w:pPr>
            <w:r>
              <w:rPr>
                <w:rFonts w:ascii="Verdana" w:hAnsi="Verdana" w:cs="Calibri"/>
                <w:sz w:val="20"/>
                <w:szCs w:val="20"/>
              </w:rPr>
              <w:t xml:space="preserve">44 </w:t>
            </w:r>
            <w:r w:rsidR="00B33E0C" w:rsidRPr="00FF2DDC">
              <w:rPr>
                <w:rFonts w:ascii="Verdana" w:hAnsi="Verdana" w:cs="Calibri"/>
                <w:sz w:val="20"/>
                <w:szCs w:val="20"/>
              </w:rPr>
              <w:t>%</w:t>
            </w:r>
          </w:p>
        </w:tc>
      </w:tr>
      <w:tr w:rsidR="00E314E4" w:rsidRPr="00FF2DDC" w14:paraId="4F53E77F" w14:textId="77777777" w:rsidTr="003201DA">
        <w:trPr>
          <w:trHeight w:val="255"/>
        </w:trPr>
        <w:tc>
          <w:tcPr>
            <w:tcW w:w="979" w:type="dxa"/>
            <w:shd w:val="clear" w:color="auto" w:fill="auto"/>
            <w:noWrap/>
          </w:tcPr>
          <w:p w14:paraId="484FE19C" w14:textId="77777777" w:rsidR="00B33E0C" w:rsidRPr="00FF2DDC" w:rsidRDefault="00B33E0C" w:rsidP="00E314E4">
            <w:pPr>
              <w:rPr>
                <w:rFonts w:ascii="Verdana" w:hAnsi="Verdana" w:cs="Calibri"/>
                <w:sz w:val="20"/>
                <w:szCs w:val="20"/>
                <w:lang w:eastAsia="en-GB"/>
              </w:rPr>
            </w:pPr>
          </w:p>
        </w:tc>
        <w:tc>
          <w:tcPr>
            <w:tcW w:w="2835" w:type="dxa"/>
            <w:shd w:val="clear" w:color="auto" w:fill="auto"/>
            <w:noWrap/>
          </w:tcPr>
          <w:p w14:paraId="3B8EF68A" w14:textId="77777777" w:rsidR="00B33E0C" w:rsidRPr="00FF2DDC" w:rsidRDefault="00B33E0C" w:rsidP="00E314E4">
            <w:pPr>
              <w:rPr>
                <w:rFonts w:ascii="Verdana" w:hAnsi="Verdana" w:cs="Calibri"/>
                <w:sz w:val="20"/>
                <w:szCs w:val="20"/>
                <w:lang w:val="da-DK" w:eastAsia="en-GB"/>
              </w:rPr>
            </w:pPr>
          </w:p>
        </w:tc>
        <w:tc>
          <w:tcPr>
            <w:tcW w:w="1397" w:type="dxa"/>
            <w:shd w:val="clear" w:color="auto" w:fill="auto"/>
            <w:noWrap/>
          </w:tcPr>
          <w:p w14:paraId="7694CFF1" w14:textId="77777777" w:rsidR="00B33E0C" w:rsidRPr="00FF2DDC" w:rsidRDefault="00B33E0C" w:rsidP="00E314E4">
            <w:pPr>
              <w:rPr>
                <w:rFonts w:ascii="Verdana" w:hAnsi="Verdana" w:cs="Calibri"/>
                <w:sz w:val="20"/>
                <w:szCs w:val="20"/>
              </w:rPr>
            </w:pPr>
          </w:p>
        </w:tc>
        <w:tc>
          <w:tcPr>
            <w:tcW w:w="1560" w:type="dxa"/>
            <w:shd w:val="clear" w:color="auto" w:fill="auto"/>
            <w:noWrap/>
          </w:tcPr>
          <w:p w14:paraId="45FA3927" w14:textId="77777777" w:rsidR="00B33E0C" w:rsidRPr="00FF2DDC" w:rsidRDefault="00B33E0C" w:rsidP="00E314E4">
            <w:pPr>
              <w:rPr>
                <w:rFonts w:ascii="Verdana" w:hAnsi="Verdana" w:cs="Calibri"/>
                <w:sz w:val="20"/>
                <w:szCs w:val="20"/>
              </w:rPr>
            </w:pPr>
          </w:p>
        </w:tc>
        <w:tc>
          <w:tcPr>
            <w:tcW w:w="1429" w:type="dxa"/>
            <w:shd w:val="clear" w:color="auto" w:fill="auto"/>
            <w:noWrap/>
          </w:tcPr>
          <w:p w14:paraId="2B6F5686" w14:textId="77777777" w:rsidR="00B33E0C" w:rsidRPr="00FF2DDC" w:rsidRDefault="00B33E0C" w:rsidP="00E314E4">
            <w:pPr>
              <w:rPr>
                <w:rFonts w:ascii="Verdana" w:hAnsi="Verdana" w:cs="Calibri"/>
                <w:sz w:val="20"/>
                <w:szCs w:val="20"/>
              </w:rPr>
            </w:pPr>
          </w:p>
        </w:tc>
        <w:tc>
          <w:tcPr>
            <w:tcW w:w="1406" w:type="dxa"/>
            <w:shd w:val="clear" w:color="auto" w:fill="auto"/>
            <w:noWrap/>
          </w:tcPr>
          <w:p w14:paraId="695725D9" w14:textId="77777777" w:rsidR="00B33E0C" w:rsidRPr="00FF2DDC" w:rsidRDefault="00B33E0C" w:rsidP="00E314E4">
            <w:pPr>
              <w:rPr>
                <w:rFonts w:ascii="Verdana" w:hAnsi="Verdana" w:cs="Calibri"/>
                <w:sz w:val="20"/>
                <w:szCs w:val="20"/>
              </w:rPr>
            </w:pPr>
          </w:p>
        </w:tc>
      </w:tr>
      <w:tr w:rsidR="00E314E4" w:rsidRPr="00FF2DDC" w14:paraId="585F1810" w14:textId="77777777" w:rsidTr="003201DA">
        <w:trPr>
          <w:trHeight w:val="255"/>
        </w:trPr>
        <w:tc>
          <w:tcPr>
            <w:tcW w:w="979" w:type="dxa"/>
            <w:shd w:val="clear" w:color="auto" w:fill="auto"/>
            <w:noWrap/>
          </w:tcPr>
          <w:p w14:paraId="60E4E207" w14:textId="77777777" w:rsidR="00B33E0C" w:rsidRPr="00FF2DDC" w:rsidRDefault="00B33E0C" w:rsidP="00E314E4">
            <w:pPr>
              <w:rPr>
                <w:rFonts w:ascii="Verdana" w:hAnsi="Verdana" w:cs="Calibri"/>
                <w:sz w:val="20"/>
                <w:szCs w:val="20"/>
                <w:lang w:eastAsia="en-GB"/>
              </w:rPr>
            </w:pPr>
            <w:r w:rsidRPr="00FF2DDC">
              <w:rPr>
                <w:rFonts w:ascii="Verdana" w:hAnsi="Verdana" w:cs="Calibri"/>
                <w:sz w:val="20"/>
                <w:szCs w:val="20"/>
                <w:lang w:eastAsia="en-GB"/>
              </w:rPr>
              <w:t>130163</w:t>
            </w:r>
          </w:p>
        </w:tc>
        <w:tc>
          <w:tcPr>
            <w:tcW w:w="2835" w:type="dxa"/>
            <w:shd w:val="clear" w:color="auto" w:fill="auto"/>
            <w:noWrap/>
          </w:tcPr>
          <w:p w14:paraId="47C02027" w14:textId="77777777" w:rsidR="00B33E0C" w:rsidRPr="00FF2DDC" w:rsidRDefault="00B33E0C" w:rsidP="00E314E4">
            <w:pPr>
              <w:rPr>
                <w:rFonts w:ascii="Verdana" w:hAnsi="Verdana" w:cs="Calibri"/>
                <w:sz w:val="20"/>
                <w:szCs w:val="20"/>
                <w:lang w:val="da-DK" w:eastAsia="en-GB"/>
              </w:rPr>
            </w:pPr>
            <w:r w:rsidRPr="00FF2DDC">
              <w:rPr>
                <w:rFonts w:ascii="Verdana" w:hAnsi="Verdana" w:cs="Calibri"/>
                <w:sz w:val="20"/>
                <w:szCs w:val="20"/>
                <w:lang w:val="da-DK" w:eastAsia="en-GB"/>
              </w:rPr>
              <w:t>Osnovna sredstva – sredstva odškodnin</w:t>
            </w:r>
          </w:p>
        </w:tc>
        <w:tc>
          <w:tcPr>
            <w:tcW w:w="1397" w:type="dxa"/>
            <w:shd w:val="clear" w:color="auto" w:fill="auto"/>
            <w:noWrap/>
          </w:tcPr>
          <w:p w14:paraId="309E4A71" w14:textId="77777777" w:rsidR="00B33E0C" w:rsidRPr="00FF2DDC" w:rsidRDefault="00B33E0C" w:rsidP="00E314E4">
            <w:pPr>
              <w:rPr>
                <w:rFonts w:ascii="Verdana" w:hAnsi="Verdana" w:cs="Calibri"/>
                <w:sz w:val="20"/>
                <w:szCs w:val="20"/>
              </w:rPr>
            </w:pPr>
            <w:r w:rsidRPr="00FF2DDC">
              <w:rPr>
                <w:rFonts w:ascii="Verdana" w:hAnsi="Verdana" w:cs="Calibri"/>
                <w:sz w:val="20"/>
                <w:szCs w:val="20"/>
              </w:rPr>
              <w:t>3.960,65</w:t>
            </w:r>
          </w:p>
        </w:tc>
        <w:tc>
          <w:tcPr>
            <w:tcW w:w="1560" w:type="dxa"/>
            <w:shd w:val="clear" w:color="auto" w:fill="auto"/>
            <w:noWrap/>
          </w:tcPr>
          <w:p w14:paraId="439A9576" w14:textId="77777777" w:rsidR="00B33E0C" w:rsidRPr="00FF2DDC" w:rsidRDefault="00B33E0C" w:rsidP="00E314E4">
            <w:pPr>
              <w:rPr>
                <w:rFonts w:ascii="Verdana" w:hAnsi="Verdana" w:cs="Calibri"/>
                <w:sz w:val="20"/>
                <w:szCs w:val="20"/>
              </w:rPr>
            </w:pPr>
            <w:r w:rsidRPr="00FF2DDC">
              <w:rPr>
                <w:rFonts w:ascii="Verdana" w:hAnsi="Verdana" w:cs="Calibri"/>
                <w:sz w:val="20"/>
                <w:szCs w:val="20"/>
              </w:rPr>
              <w:t>3.960,65</w:t>
            </w:r>
          </w:p>
        </w:tc>
        <w:tc>
          <w:tcPr>
            <w:tcW w:w="1429" w:type="dxa"/>
            <w:shd w:val="clear" w:color="auto" w:fill="auto"/>
            <w:noWrap/>
          </w:tcPr>
          <w:p w14:paraId="1C64A37D" w14:textId="77777777" w:rsidR="00B33E0C" w:rsidRPr="00FF2DDC" w:rsidRDefault="00B33E0C" w:rsidP="00E314E4">
            <w:pPr>
              <w:rPr>
                <w:rFonts w:ascii="Verdana" w:hAnsi="Verdana" w:cs="Calibri"/>
                <w:sz w:val="20"/>
                <w:szCs w:val="20"/>
              </w:rPr>
            </w:pPr>
            <w:r w:rsidRPr="00FF2DDC">
              <w:rPr>
                <w:rFonts w:ascii="Verdana" w:hAnsi="Verdana" w:cs="Calibri"/>
                <w:sz w:val="20"/>
                <w:szCs w:val="20"/>
              </w:rPr>
              <w:t>3.960,65</w:t>
            </w:r>
          </w:p>
        </w:tc>
        <w:tc>
          <w:tcPr>
            <w:tcW w:w="1406" w:type="dxa"/>
            <w:shd w:val="clear" w:color="auto" w:fill="auto"/>
            <w:noWrap/>
          </w:tcPr>
          <w:p w14:paraId="5BE0C129" w14:textId="4590514A" w:rsidR="00B33E0C" w:rsidRPr="00FF2DDC" w:rsidRDefault="00B33E0C" w:rsidP="00E314E4">
            <w:pPr>
              <w:rPr>
                <w:rFonts w:ascii="Verdana" w:hAnsi="Verdana" w:cs="Calibri"/>
                <w:sz w:val="20"/>
                <w:szCs w:val="20"/>
              </w:rPr>
            </w:pPr>
            <w:r w:rsidRPr="00FF2DDC">
              <w:rPr>
                <w:rFonts w:ascii="Verdana" w:hAnsi="Verdana" w:cs="Calibri"/>
                <w:sz w:val="20"/>
                <w:szCs w:val="20"/>
              </w:rPr>
              <w:t>100</w:t>
            </w:r>
            <w:r w:rsidR="00C96D02">
              <w:rPr>
                <w:rFonts w:ascii="Verdana" w:hAnsi="Verdana" w:cs="Calibri"/>
                <w:sz w:val="20"/>
                <w:szCs w:val="20"/>
              </w:rPr>
              <w:t xml:space="preserve"> </w:t>
            </w:r>
            <w:r w:rsidRPr="00FF2DDC">
              <w:rPr>
                <w:rFonts w:ascii="Verdana" w:hAnsi="Verdana" w:cs="Calibri"/>
                <w:sz w:val="20"/>
                <w:szCs w:val="20"/>
              </w:rPr>
              <w:t>%</w:t>
            </w:r>
          </w:p>
        </w:tc>
      </w:tr>
      <w:tr w:rsidR="00C96D02" w:rsidRPr="00FF2DDC" w14:paraId="7A65593D" w14:textId="77777777" w:rsidTr="003201DA">
        <w:trPr>
          <w:trHeight w:val="255"/>
        </w:trPr>
        <w:tc>
          <w:tcPr>
            <w:tcW w:w="979" w:type="dxa"/>
            <w:shd w:val="clear" w:color="auto" w:fill="auto"/>
            <w:noWrap/>
          </w:tcPr>
          <w:p w14:paraId="79B08E02" w14:textId="77777777" w:rsidR="00C96D02" w:rsidRPr="00FF2DDC" w:rsidRDefault="00C96D02" w:rsidP="00E314E4">
            <w:pPr>
              <w:rPr>
                <w:rFonts w:ascii="Verdana" w:hAnsi="Verdana" w:cs="Calibri"/>
                <w:sz w:val="20"/>
                <w:szCs w:val="20"/>
                <w:lang w:eastAsia="en-GB"/>
              </w:rPr>
            </w:pPr>
          </w:p>
        </w:tc>
        <w:tc>
          <w:tcPr>
            <w:tcW w:w="2835" w:type="dxa"/>
            <w:shd w:val="clear" w:color="auto" w:fill="auto"/>
            <w:noWrap/>
          </w:tcPr>
          <w:p w14:paraId="0544E089" w14:textId="1D1D7B9D" w:rsidR="00C96D02" w:rsidRPr="00C96D02" w:rsidRDefault="00C96D02" w:rsidP="00E314E4">
            <w:pPr>
              <w:rPr>
                <w:rFonts w:ascii="Verdana" w:hAnsi="Verdana" w:cs="Calibri"/>
                <w:b/>
                <w:sz w:val="20"/>
                <w:szCs w:val="20"/>
                <w:lang w:val="da-DK" w:eastAsia="en-GB"/>
              </w:rPr>
            </w:pPr>
            <w:r w:rsidRPr="00C96D02">
              <w:rPr>
                <w:rFonts w:ascii="Verdana" w:hAnsi="Verdana" w:cs="Calibri"/>
                <w:b/>
                <w:sz w:val="20"/>
                <w:szCs w:val="20"/>
                <w:lang w:val="da-DK" w:eastAsia="en-GB"/>
              </w:rPr>
              <w:t>SKUPAJ</w:t>
            </w:r>
          </w:p>
        </w:tc>
        <w:tc>
          <w:tcPr>
            <w:tcW w:w="1397" w:type="dxa"/>
            <w:shd w:val="clear" w:color="auto" w:fill="auto"/>
            <w:noWrap/>
          </w:tcPr>
          <w:p w14:paraId="3E669A59" w14:textId="7659AF90" w:rsidR="00C96D02" w:rsidRPr="00FF2DDC" w:rsidRDefault="00C96D02" w:rsidP="00E314E4">
            <w:pPr>
              <w:rPr>
                <w:rFonts w:ascii="Verdana" w:hAnsi="Verdana" w:cs="Calibri"/>
                <w:sz w:val="20"/>
                <w:szCs w:val="20"/>
              </w:rPr>
            </w:pPr>
            <w:r w:rsidRPr="00C96D02">
              <w:rPr>
                <w:rFonts w:ascii="Verdana" w:hAnsi="Verdana" w:cs="Calibri"/>
                <w:sz w:val="20"/>
                <w:szCs w:val="20"/>
              </w:rPr>
              <w:t>1.290.701,26</w:t>
            </w:r>
          </w:p>
        </w:tc>
        <w:tc>
          <w:tcPr>
            <w:tcW w:w="1560" w:type="dxa"/>
            <w:shd w:val="clear" w:color="auto" w:fill="auto"/>
            <w:noWrap/>
          </w:tcPr>
          <w:p w14:paraId="013C131D" w14:textId="0921A9BB" w:rsidR="00C96D02" w:rsidRPr="00FF2DDC" w:rsidRDefault="00C96D02" w:rsidP="00E314E4">
            <w:pPr>
              <w:rPr>
                <w:rFonts w:ascii="Verdana" w:hAnsi="Verdana" w:cs="Calibri"/>
                <w:sz w:val="20"/>
                <w:szCs w:val="20"/>
              </w:rPr>
            </w:pPr>
            <w:r w:rsidRPr="00C96D02">
              <w:rPr>
                <w:rFonts w:ascii="Verdana" w:hAnsi="Verdana" w:cs="Calibri"/>
                <w:sz w:val="20"/>
                <w:szCs w:val="20"/>
              </w:rPr>
              <w:t>1.109.254,34</w:t>
            </w:r>
          </w:p>
        </w:tc>
        <w:tc>
          <w:tcPr>
            <w:tcW w:w="1429" w:type="dxa"/>
            <w:shd w:val="clear" w:color="auto" w:fill="auto"/>
            <w:noWrap/>
          </w:tcPr>
          <w:p w14:paraId="78B5FDA6" w14:textId="420DD65F" w:rsidR="00C96D02" w:rsidRPr="00FF2DDC" w:rsidRDefault="00C96D02" w:rsidP="00E314E4">
            <w:pPr>
              <w:rPr>
                <w:rFonts w:ascii="Verdana" w:hAnsi="Verdana" w:cs="Calibri"/>
                <w:sz w:val="20"/>
                <w:szCs w:val="20"/>
              </w:rPr>
            </w:pPr>
            <w:r w:rsidRPr="00C96D02">
              <w:rPr>
                <w:rFonts w:ascii="Verdana" w:hAnsi="Verdana" w:cs="Calibri"/>
                <w:sz w:val="20"/>
                <w:szCs w:val="20"/>
              </w:rPr>
              <w:t>1.103.586,52</w:t>
            </w:r>
          </w:p>
        </w:tc>
        <w:tc>
          <w:tcPr>
            <w:tcW w:w="1406" w:type="dxa"/>
            <w:shd w:val="clear" w:color="auto" w:fill="auto"/>
            <w:noWrap/>
          </w:tcPr>
          <w:p w14:paraId="78D0B965" w14:textId="38F33CA4" w:rsidR="00C96D02" w:rsidRPr="00FF2DDC" w:rsidRDefault="00C96D02" w:rsidP="00C96D02">
            <w:pPr>
              <w:rPr>
                <w:rFonts w:ascii="Verdana" w:hAnsi="Verdana" w:cs="Calibri"/>
                <w:sz w:val="20"/>
                <w:szCs w:val="20"/>
              </w:rPr>
            </w:pPr>
            <w:r w:rsidRPr="00C96D02">
              <w:rPr>
                <w:rFonts w:ascii="Verdana" w:hAnsi="Verdana" w:cs="Calibri"/>
                <w:sz w:val="20"/>
                <w:szCs w:val="20"/>
              </w:rPr>
              <w:t>86 %</w:t>
            </w:r>
          </w:p>
        </w:tc>
      </w:tr>
    </w:tbl>
    <w:p w14:paraId="532AF34E" w14:textId="77777777" w:rsidR="00B33E0C" w:rsidRPr="00FF2DDC" w:rsidRDefault="00B33E0C" w:rsidP="00E314E4">
      <w:pPr>
        <w:rPr>
          <w:rFonts w:ascii="Verdana" w:eastAsia="Times New Roman" w:hAnsi="Verdana" w:cs="Calibri"/>
          <w:bCs/>
          <w:sz w:val="20"/>
          <w:szCs w:val="20"/>
          <w:u w:val="single"/>
          <w:lang w:val="x-none" w:eastAsia="x-none"/>
        </w:rPr>
      </w:pPr>
    </w:p>
    <w:p w14:paraId="680C4C56" w14:textId="4B9FE247" w:rsidR="00B33E0C" w:rsidRPr="00FF2DDC" w:rsidRDefault="00B33E0C" w:rsidP="00B33E0C">
      <w:pPr>
        <w:spacing w:after="0"/>
        <w:jc w:val="both"/>
        <w:rPr>
          <w:rFonts w:ascii="Verdana" w:hAnsi="Verdana" w:cs="Calibri"/>
          <w:i/>
          <w:sz w:val="20"/>
          <w:szCs w:val="20"/>
        </w:rPr>
      </w:pPr>
      <w:r w:rsidRPr="009D2318">
        <w:rPr>
          <w:rFonts w:ascii="Verdana" w:hAnsi="Verdana" w:cs="Calibri"/>
          <w:b/>
          <w:i/>
          <w:sz w:val="20"/>
          <w:szCs w:val="20"/>
        </w:rPr>
        <w:t>Delež realizacije proračuna v sprejetem proračunu</w:t>
      </w:r>
      <w:r w:rsidRPr="009D2318">
        <w:rPr>
          <w:rFonts w:ascii="Verdana" w:hAnsi="Verdana" w:cs="Calibri"/>
          <w:i/>
          <w:sz w:val="20"/>
          <w:szCs w:val="20"/>
        </w:rPr>
        <w:t xml:space="preserve"> </w:t>
      </w:r>
      <w:r w:rsidRPr="009D2318">
        <w:rPr>
          <w:rFonts w:ascii="Verdana" w:hAnsi="Verdana" w:cs="Calibri"/>
          <w:i/>
        </w:rPr>
        <w:t xml:space="preserve">(plače, materialni stroški, investicije, kakovost visokega šolstva, osnovna sredstva – sredstva odškodnin) </w:t>
      </w:r>
      <w:r w:rsidRPr="009D2318">
        <w:rPr>
          <w:rFonts w:ascii="Verdana" w:hAnsi="Verdana" w:cs="Calibri"/>
          <w:i/>
          <w:sz w:val="20"/>
          <w:szCs w:val="20"/>
        </w:rPr>
        <w:t xml:space="preserve">je </w:t>
      </w:r>
      <w:r w:rsidRPr="009D2318">
        <w:rPr>
          <w:rFonts w:ascii="Verdana" w:hAnsi="Verdana" w:cs="Calibri"/>
          <w:i/>
        </w:rPr>
        <w:t xml:space="preserve">v letu 2018 znašal </w:t>
      </w:r>
      <w:r w:rsidRPr="009D2318">
        <w:rPr>
          <w:rFonts w:ascii="Verdana" w:hAnsi="Verdana" w:cs="Calibri"/>
          <w:b/>
          <w:i/>
        </w:rPr>
        <w:t>86 %</w:t>
      </w:r>
      <w:r w:rsidRPr="009D2318">
        <w:rPr>
          <w:rFonts w:ascii="Verdana" w:hAnsi="Verdana" w:cs="Calibri"/>
          <w:i/>
          <w:sz w:val="20"/>
          <w:szCs w:val="20"/>
        </w:rPr>
        <w:t>.</w:t>
      </w:r>
    </w:p>
    <w:p w14:paraId="3AD95E1A" w14:textId="77777777" w:rsidR="00B33E0C" w:rsidRPr="00FF2DDC" w:rsidRDefault="00B33E0C" w:rsidP="00B33E0C">
      <w:pPr>
        <w:spacing w:after="0"/>
        <w:jc w:val="both"/>
        <w:rPr>
          <w:rFonts w:ascii="Verdana" w:hAnsi="Verdana" w:cs="Calibri"/>
          <w:i/>
        </w:rPr>
      </w:pPr>
    </w:p>
    <w:p w14:paraId="4A085C2D" w14:textId="77777777" w:rsidR="00B33E0C" w:rsidRPr="00E314E4" w:rsidRDefault="00B33E0C" w:rsidP="00B33E0C">
      <w:pPr>
        <w:spacing w:after="0"/>
        <w:jc w:val="both"/>
        <w:rPr>
          <w:rFonts w:ascii="Verdana" w:hAnsi="Verdana" w:cs="Calibri"/>
          <w:u w:val="single"/>
        </w:rPr>
      </w:pPr>
    </w:p>
    <w:p w14:paraId="3DC515B8" w14:textId="77777777" w:rsidR="00B33E0C" w:rsidRPr="00E314E4" w:rsidRDefault="00B33E0C" w:rsidP="00C96D02">
      <w:pPr>
        <w:spacing w:after="0" w:line="240" w:lineRule="auto"/>
        <w:jc w:val="both"/>
        <w:rPr>
          <w:rFonts w:ascii="Verdana" w:eastAsia="Cambria" w:hAnsi="Verdana" w:cs="Calibri"/>
        </w:rPr>
      </w:pPr>
      <w:r w:rsidRPr="00FF2DDC">
        <w:rPr>
          <w:rFonts w:ascii="Verdana" w:hAnsi="Verdana" w:cs="Calibri"/>
        </w:rPr>
        <w:lastRenderedPageBreak/>
        <w:t>Privarčevana sredstva, v višini 181.446,92 EUR so bila prerazporejena v Rezervo Republike Slovenije.</w:t>
      </w:r>
    </w:p>
    <w:p w14:paraId="30F9D032" w14:textId="329A65CC" w:rsidR="00E314E4" w:rsidRDefault="00E314E4" w:rsidP="00E71F5D">
      <w:pPr>
        <w:spacing w:after="0"/>
        <w:jc w:val="both"/>
        <w:rPr>
          <w:rFonts w:ascii="Verdana" w:hAnsi="Verdana"/>
        </w:rPr>
      </w:pPr>
    </w:p>
    <w:p w14:paraId="3AAAA603" w14:textId="3FCBBBA0" w:rsidR="00E71F5D" w:rsidRPr="00E314E4" w:rsidRDefault="00E71F5D" w:rsidP="00E71F5D">
      <w:pPr>
        <w:spacing w:after="0"/>
        <w:jc w:val="both"/>
        <w:rPr>
          <w:rFonts w:ascii="Verdana" w:hAnsi="Verdana"/>
        </w:rPr>
      </w:pPr>
      <w:r w:rsidRPr="00E314E4">
        <w:rPr>
          <w:rFonts w:ascii="Verdana" w:hAnsi="Verdana"/>
        </w:rPr>
        <w:t>Poraba dodeljenih sredstev v letu 2018 je bila manjša zaradi vpeljave novega načina akreditacij in evalvacij visokošolskih zavodov, višjih strokovnih šol in študijskih programov po novih merilih za akreditacijo in zunanjo evalvacijo ter s tem povezanega vzpostavljanja celovitega informacijskega sistema eNakvis. Sistem je kompleksen, poleg oddajanja vlog v elektronski obliki bo omogočal povezovanje ali izmenj</w:t>
      </w:r>
      <w:r w:rsidR="00E314E4">
        <w:rPr>
          <w:rFonts w:ascii="Verdana" w:hAnsi="Verdana"/>
        </w:rPr>
        <w:t>e</w:t>
      </w:r>
      <w:r w:rsidRPr="00E314E4">
        <w:rPr>
          <w:rFonts w:ascii="Verdana" w:hAnsi="Verdana"/>
        </w:rPr>
        <w:t>vanje podatkov med različnimi informacijskimi bazami: ministrstva (eVŠ), univerz, drugih visokošolskih zavodov ter tudi vzpostavitev razvida visokošolskih zavodov in študijskih programov, za katerega je po novem pristojna  agencija (prej je bila to pristojnost MIZŠ).</w:t>
      </w:r>
      <w:r w:rsidR="00FF2DDC">
        <w:rPr>
          <w:rFonts w:ascii="Verdana" w:hAnsi="Verdana"/>
        </w:rPr>
        <w:t xml:space="preserve"> </w:t>
      </w:r>
      <w:r w:rsidRPr="00E314E4">
        <w:rPr>
          <w:rFonts w:ascii="Verdana" w:hAnsi="Verdana"/>
        </w:rPr>
        <w:t>Zaradi naštetih vzrokov je večina visokošolskih zavodov in šol oddala elektronske vloge za akreditacijo oziroma evalvacijo</w:t>
      </w:r>
      <w:r w:rsidR="00005B77">
        <w:rPr>
          <w:rFonts w:ascii="Verdana" w:hAnsi="Verdana"/>
        </w:rPr>
        <w:t xml:space="preserve"> v drugi polovici leta 2018</w:t>
      </w:r>
      <w:r w:rsidR="00FF2DDC">
        <w:rPr>
          <w:rFonts w:ascii="Verdana" w:hAnsi="Verdana"/>
        </w:rPr>
        <w:t>.</w:t>
      </w:r>
      <w:r w:rsidRPr="00E314E4">
        <w:rPr>
          <w:rFonts w:ascii="Verdana" w:hAnsi="Verdana"/>
        </w:rPr>
        <w:t xml:space="preserve"> Ker </w:t>
      </w:r>
      <w:proofErr w:type="spellStart"/>
      <w:r w:rsidRPr="00E314E4">
        <w:rPr>
          <w:rFonts w:ascii="Verdana" w:hAnsi="Verdana"/>
        </w:rPr>
        <w:t>akreditacijski</w:t>
      </w:r>
      <w:proofErr w:type="spellEnd"/>
      <w:r w:rsidRPr="00E314E4">
        <w:rPr>
          <w:rFonts w:ascii="Verdana" w:hAnsi="Verdana"/>
        </w:rPr>
        <w:t xml:space="preserve"> in </w:t>
      </w:r>
      <w:proofErr w:type="spellStart"/>
      <w:r w:rsidRPr="00E314E4">
        <w:rPr>
          <w:rFonts w:ascii="Verdana" w:hAnsi="Verdana"/>
        </w:rPr>
        <w:t>evalvacijski</w:t>
      </w:r>
      <w:proofErr w:type="spellEnd"/>
      <w:r w:rsidRPr="00E314E4">
        <w:rPr>
          <w:rFonts w:ascii="Verdana" w:hAnsi="Verdana"/>
        </w:rPr>
        <w:t xml:space="preserve"> postopki v skladu z </w:t>
      </w:r>
      <w:proofErr w:type="spellStart"/>
      <w:r w:rsidRPr="00E314E4">
        <w:rPr>
          <w:rFonts w:ascii="Verdana" w:hAnsi="Verdana"/>
        </w:rPr>
        <w:t>Z</w:t>
      </w:r>
      <w:r w:rsidR="00FF2DDC">
        <w:rPr>
          <w:rFonts w:ascii="Verdana" w:hAnsi="Verdana"/>
        </w:rPr>
        <w:t>vIS</w:t>
      </w:r>
      <w:proofErr w:type="spellEnd"/>
      <w:r w:rsidR="00FF2DDC">
        <w:rPr>
          <w:rFonts w:ascii="Verdana" w:hAnsi="Verdana"/>
        </w:rPr>
        <w:t xml:space="preserve"> in merili</w:t>
      </w:r>
      <w:r w:rsidRPr="00E314E4">
        <w:rPr>
          <w:rFonts w:ascii="Verdana" w:hAnsi="Verdana"/>
        </w:rPr>
        <w:t xml:space="preserve"> trajajo od 9 do 14 mesecev, je bilo mogoče v letu 2018 končati 48 postopkov, </w:t>
      </w:r>
      <w:r w:rsidR="00FF2DDC">
        <w:rPr>
          <w:rFonts w:ascii="Verdana" w:hAnsi="Verdana"/>
        </w:rPr>
        <w:t xml:space="preserve">47 se jih bo nadaljevalo v letu 2019. </w:t>
      </w:r>
    </w:p>
    <w:p w14:paraId="3FAF99CE" w14:textId="77777777" w:rsidR="00E71F5D" w:rsidRPr="00E314E4" w:rsidRDefault="00E71F5D" w:rsidP="00E71F5D">
      <w:pPr>
        <w:spacing w:after="0"/>
        <w:jc w:val="both"/>
        <w:rPr>
          <w:rFonts w:ascii="Verdana" w:hAnsi="Verdana"/>
        </w:rPr>
      </w:pPr>
    </w:p>
    <w:p w14:paraId="1E67729C" w14:textId="2E5B960E" w:rsidR="00E314E4" w:rsidRPr="004A476F" w:rsidRDefault="00E314E4" w:rsidP="00E314E4">
      <w:pPr>
        <w:spacing w:after="0"/>
        <w:jc w:val="both"/>
        <w:rPr>
          <w:rFonts w:ascii="Verdana" w:hAnsi="Verdana" w:cs="Calibri"/>
        </w:rPr>
      </w:pPr>
      <w:r w:rsidRPr="004A476F">
        <w:rPr>
          <w:rFonts w:ascii="Verdana" w:hAnsi="Verdana" w:cs="Calibri"/>
        </w:rPr>
        <w:t>Razlog</w:t>
      </w:r>
      <w:r w:rsidR="00FF2DDC">
        <w:rPr>
          <w:rFonts w:ascii="Verdana" w:hAnsi="Verdana" w:cs="Calibri"/>
        </w:rPr>
        <w:t xml:space="preserve"> za manjšo porabo dodeljenih proračunskih sredstev v letu 2018 je bil tudi porodniški dopust dveh strokovnih delavk v prvi polovici tega leta.</w:t>
      </w:r>
    </w:p>
    <w:p w14:paraId="06EADADA" w14:textId="288AB9F2" w:rsidR="00B33E0C" w:rsidRDefault="00B33E0C" w:rsidP="00B33E0C">
      <w:pPr>
        <w:autoSpaceDE w:val="0"/>
        <w:autoSpaceDN w:val="0"/>
        <w:adjustRightInd w:val="0"/>
        <w:spacing w:after="0" w:line="240" w:lineRule="auto"/>
        <w:rPr>
          <w:rFonts w:ascii="Verdana" w:eastAsia="Times New Roman" w:hAnsi="Verdana" w:cs="Arial"/>
          <w:b/>
          <w:color w:val="000000"/>
          <w:sz w:val="20"/>
          <w:szCs w:val="20"/>
          <w:lang w:eastAsia="en-GB"/>
        </w:rPr>
      </w:pPr>
    </w:p>
    <w:p w14:paraId="6D0C4616" w14:textId="77777777" w:rsidR="00FF2DDC" w:rsidRPr="00E314E4" w:rsidRDefault="00FF2DDC" w:rsidP="00B33E0C">
      <w:pPr>
        <w:autoSpaceDE w:val="0"/>
        <w:autoSpaceDN w:val="0"/>
        <w:adjustRightInd w:val="0"/>
        <w:spacing w:after="0" w:line="240" w:lineRule="auto"/>
        <w:rPr>
          <w:rFonts w:ascii="Verdana" w:eastAsia="Times New Roman" w:hAnsi="Verdana" w:cs="Arial"/>
          <w:b/>
          <w:color w:val="000000"/>
          <w:sz w:val="20"/>
          <w:szCs w:val="20"/>
          <w:lang w:eastAsia="en-GB"/>
        </w:rPr>
      </w:pPr>
    </w:p>
    <w:p w14:paraId="7ADA9949" w14:textId="05E9ACF0" w:rsidR="00B33E0C" w:rsidRPr="00A61D3E" w:rsidRDefault="00FF2DDC" w:rsidP="00B33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b/>
          <w:lang w:eastAsia="x-none"/>
        </w:rPr>
      </w:pPr>
      <w:r>
        <w:rPr>
          <w:rFonts w:ascii="Verdana" w:eastAsia="Times New Roman" w:hAnsi="Verdana" w:cs="Calibri"/>
          <w:b/>
          <w:lang w:eastAsia="x-none"/>
        </w:rPr>
        <w:t>P</w:t>
      </w:r>
      <w:r w:rsidRPr="00A61D3E">
        <w:rPr>
          <w:rFonts w:ascii="Verdana" w:eastAsia="Times New Roman" w:hAnsi="Verdana" w:cs="Calibri"/>
          <w:b/>
          <w:lang w:eastAsia="x-none"/>
        </w:rPr>
        <w:t>rimerjava porabljenih sredstev na agenciji od leta 2012 do leta 2018</w:t>
      </w:r>
    </w:p>
    <w:p w14:paraId="2F377949" w14:textId="77777777" w:rsidR="00B33E0C" w:rsidRPr="00FF2DDC" w:rsidRDefault="00B33E0C" w:rsidP="00B33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sz w:val="20"/>
          <w:szCs w:val="20"/>
          <w:lang w:eastAsia="x-none"/>
        </w:rPr>
      </w:pPr>
    </w:p>
    <w:tbl>
      <w:tblPr>
        <w:tblW w:w="5095"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417"/>
        <w:gridCol w:w="1134"/>
        <w:gridCol w:w="1276"/>
        <w:gridCol w:w="1134"/>
        <w:gridCol w:w="1276"/>
        <w:gridCol w:w="1275"/>
        <w:gridCol w:w="1134"/>
        <w:gridCol w:w="1134"/>
      </w:tblGrid>
      <w:tr w:rsidR="00812B7B" w:rsidRPr="00A61D3E" w14:paraId="4BBFD42C" w14:textId="77777777" w:rsidTr="00FF2DDC">
        <w:trPr>
          <w:trHeight w:val="272"/>
          <w:tblHeader/>
        </w:trPr>
        <w:tc>
          <w:tcPr>
            <w:tcW w:w="1417" w:type="dxa"/>
            <w:tcBorders>
              <w:bottom w:val="single" w:sz="12" w:space="0" w:color="000000"/>
            </w:tcBorders>
            <w:shd w:val="clear" w:color="auto" w:fill="auto"/>
            <w:noWrap/>
            <w:vAlign w:val="center"/>
          </w:tcPr>
          <w:p w14:paraId="46875626" w14:textId="77777777" w:rsidR="00812B7B" w:rsidRPr="00A61D3E" w:rsidRDefault="00812B7B" w:rsidP="00FF2DDC">
            <w:pPr>
              <w:rPr>
                <w:rFonts w:ascii="Verdana" w:hAnsi="Verdana"/>
                <w:sz w:val="20"/>
                <w:szCs w:val="20"/>
                <w:lang w:val="da-DK" w:eastAsia="en-GB"/>
              </w:rPr>
            </w:pPr>
          </w:p>
        </w:tc>
        <w:tc>
          <w:tcPr>
            <w:tcW w:w="1134" w:type="dxa"/>
            <w:tcBorders>
              <w:bottom w:val="single" w:sz="12" w:space="0" w:color="000000"/>
            </w:tcBorders>
            <w:shd w:val="clear" w:color="auto" w:fill="auto"/>
            <w:noWrap/>
            <w:vAlign w:val="center"/>
          </w:tcPr>
          <w:p w14:paraId="5100C872" w14:textId="77777777" w:rsidR="00812B7B" w:rsidRPr="00A61D3E" w:rsidRDefault="00812B7B" w:rsidP="00FF2DDC">
            <w:pPr>
              <w:rPr>
                <w:rFonts w:ascii="Verdana" w:hAnsi="Verdana"/>
                <w:sz w:val="20"/>
                <w:szCs w:val="20"/>
                <w:lang w:val="en-GB" w:eastAsia="en-GB"/>
              </w:rPr>
            </w:pPr>
            <w:r w:rsidRPr="00A61D3E">
              <w:rPr>
                <w:rFonts w:ascii="Verdana" w:hAnsi="Verdana"/>
                <w:sz w:val="20"/>
                <w:szCs w:val="20"/>
                <w:lang w:val="en-GB" w:eastAsia="en-GB"/>
              </w:rPr>
              <w:t>Leto 2012</w:t>
            </w:r>
          </w:p>
        </w:tc>
        <w:tc>
          <w:tcPr>
            <w:tcW w:w="1276" w:type="dxa"/>
            <w:tcBorders>
              <w:bottom w:val="single" w:sz="12" w:space="0" w:color="000000"/>
            </w:tcBorders>
            <w:shd w:val="clear" w:color="auto" w:fill="auto"/>
            <w:noWrap/>
            <w:vAlign w:val="center"/>
          </w:tcPr>
          <w:p w14:paraId="261692AF" w14:textId="77777777" w:rsidR="00812B7B" w:rsidRPr="00A61D3E" w:rsidRDefault="00812B7B" w:rsidP="00FF2DDC">
            <w:pPr>
              <w:rPr>
                <w:rFonts w:ascii="Verdana" w:hAnsi="Verdana"/>
                <w:sz w:val="20"/>
                <w:szCs w:val="20"/>
                <w:lang w:val="en-GB" w:eastAsia="en-GB"/>
              </w:rPr>
            </w:pPr>
            <w:r w:rsidRPr="00A61D3E">
              <w:rPr>
                <w:rFonts w:ascii="Verdana" w:hAnsi="Verdana"/>
                <w:sz w:val="20"/>
                <w:szCs w:val="20"/>
                <w:lang w:val="en-GB" w:eastAsia="en-GB"/>
              </w:rPr>
              <w:t>Leto   2013</w:t>
            </w:r>
          </w:p>
        </w:tc>
        <w:tc>
          <w:tcPr>
            <w:tcW w:w="1134" w:type="dxa"/>
            <w:tcBorders>
              <w:bottom w:val="single" w:sz="12" w:space="0" w:color="000000"/>
            </w:tcBorders>
            <w:shd w:val="clear" w:color="auto" w:fill="auto"/>
            <w:vAlign w:val="center"/>
          </w:tcPr>
          <w:p w14:paraId="4B06122C" w14:textId="77777777" w:rsidR="00812B7B" w:rsidRPr="00A61D3E" w:rsidRDefault="00812B7B" w:rsidP="00FF2DDC">
            <w:pPr>
              <w:rPr>
                <w:rFonts w:ascii="Verdana" w:hAnsi="Verdana"/>
                <w:sz w:val="20"/>
                <w:szCs w:val="20"/>
                <w:lang w:val="en-GB" w:eastAsia="en-GB"/>
              </w:rPr>
            </w:pPr>
            <w:r w:rsidRPr="00A61D3E">
              <w:rPr>
                <w:rFonts w:ascii="Verdana" w:hAnsi="Verdana"/>
                <w:sz w:val="20"/>
                <w:szCs w:val="20"/>
                <w:lang w:val="en-GB" w:eastAsia="en-GB"/>
              </w:rPr>
              <w:t>Leto 2014</w:t>
            </w:r>
          </w:p>
        </w:tc>
        <w:tc>
          <w:tcPr>
            <w:tcW w:w="1276" w:type="dxa"/>
            <w:tcBorders>
              <w:bottom w:val="single" w:sz="12" w:space="0" w:color="000000"/>
            </w:tcBorders>
            <w:vAlign w:val="center"/>
          </w:tcPr>
          <w:p w14:paraId="42F41094" w14:textId="77777777" w:rsidR="00812B7B" w:rsidRPr="00A61D3E" w:rsidRDefault="00812B7B" w:rsidP="00FF2DDC">
            <w:pPr>
              <w:rPr>
                <w:rFonts w:ascii="Verdana" w:hAnsi="Verdana"/>
                <w:sz w:val="20"/>
                <w:szCs w:val="20"/>
                <w:lang w:val="en-GB" w:eastAsia="en-GB"/>
              </w:rPr>
            </w:pPr>
            <w:r w:rsidRPr="00A61D3E">
              <w:rPr>
                <w:rFonts w:ascii="Verdana" w:hAnsi="Verdana"/>
                <w:sz w:val="20"/>
                <w:szCs w:val="20"/>
                <w:lang w:val="en-GB" w:eastAsia="en-GB"/>
              </w:rPr>
              <w:t>Leto 2015</w:t>
            </w:r>
          </w:p>
        </w:tc>
        <w:tc>
          <w:tcPr>
            <w:tcW w:w="1275" w:type="dxa"/>
            <w:tcBorders>
              <w:bottom w:val="single" w:sz="12" w:space="0" w:color="000000"/>
            </w:tcBorders>
            <w:vAlign w:val="center"/>
          </w:tcPr>
          <w:p w14:paraId="282CDB81" w14:textId="77777777" w:rsidR="00812B7B" w:rsidRPr="00A61D3E" w:rsidRDefault="00812B7B" w:rsidP="00FF2DDC">
            <w:pPr>
              <w:rPr>
                <w:rFonts w:ascii="Verdana" w:hAnsi="Verdana"/>
                <w:sz w:val="20"/>
                <w:szCs w:val="20"/>
                <w:lang w:val="en-GB" w:eastAsia="en-GB"/>
              </w:rPr>
            </w:pPr>
            <w:r w:rsidRPr="00A61D3E">
              <w:rPr>
                <w:rFonts w:ascii="Verdana" w:hAnsi="Verdana"/>
                <w:sz w:val="20"/>
                <w:szCs w:val="20"/>
                <w:lang w:val="en-GB" w:eastAsia="en-GB"/>
              </w:rPr>
              <w:t>Leto 2016</w:t>
            </w:r>
          </w:p>
        </w:tc>
        <w:tc>
          <w:tcPr>
            <w:tcW w:w="1134" w:type="dxa"/>
            <w:tcBorders>
              <w:bottom w:val="single" w:sz="12" w:space="0" w:color="000000"/>
            </w:tcBorders>
            <w:vAlign w:val="center"/>
          </w:tcPr>
          <w:p w14:paraId="5BEDA041" w14:textId="77777777" w:rsidR="00812B7B" w:rsidRPr="00A61D3E" w:rsidRDefault="00812B7B" w:rsidP="00FF2DDC">
            <w:pPr>
              <w:rPr>
                <w:rFonts w:ascii="Verdana" w:hAnsi="Verdana"/>
                <w:sz w:val="20"/>
                <w:szCs w:val="20"/>
                <w:lang w:val="en-GB" w:eastAsia="en-GB"/>
              </w:rPr>
            </w:pPr>
            <w:r w:rsidRPr="00A61D3E">
              <w:rPr>
                <w:rFonts w:ascii="Verdana" w:hAnsi="Verdana"/>
                <w:sz w:val="20"/>
                <w:szCs w:val="20"/>
                <w:lang w:val="en-GB" w:eastAsia="en-GB"/>
              </w:rPr>
              <w:t>Leto  2017</w:t>
            </w:r>
          </w:p>
        </w:tc>
        <w:tc>
          <w:tcPr>
            <w:tcW w:w="1134" w:type="dxa"/>
            <w:tcBorders>
              <w:bottom w:val="single" w:sz="12" w:space="0" w:color="000000"/>
            </w:tcBorders>
          </w:tcPr>
          <w:p w14:paraId="4629C6E3" w14:textId="77777777" w:rsidR="00812B7B" w:rsidRPr="00A61D3E" w:rsidRDefault="00812B7B" w:rsidP="00FF2DDC">
            <w:pPr>
              <w:rPr>
                <w:rFonts w:ascii="Verdana" w:hAnsi="Verdana"/>
                <w:sz w:val="20"/>
                <w:szCs w:val="20"/>
                <w:lang w:val="en-GB" w:eastAsia="en-GB"/>
              </w:rPr>
            </w:pPr>
            <w:r w:rsidRPr="00A61D3E">
              <w:rPr>
                <w:rFonts w:ascii="Verdana" w:hAnsi="Verdana"/>
                <w:sz w:val="20"/>
                <w:szCs w:val="20"/>
                <w:lang w:val="en-GB" w:eastAsia="en-GB"/>
              </w:rPr>
              <w:t>Leto 2018</w:t>
            </w:r>
          </w:p>
        </w:tc>
      </w:tr>
      <w:tr w:rsidR="00812B7B" w:rsidRPr="00A61D3E" w14:paraId="211444AF" w14:textId="77777777" w:rsidTr="00FF2DDC">
        <w:trPr>
          <w:trHeight w:val="220"/>
        </w:trPr>
        <w:tc>
          <w:tcPr>
            <w:tcW w:w="1417" w:type="dxa"/>
            <w:tcBorders>
              <w:top w:val="single" w:sz="12" w:space="0" w:color="000000"/>
              <w:bottom w:val="single" w:sz="12" w:space="0" w:color="000000"/>
              <w:right w:val="nil"/>
            </w:tcBorders>
            <w:shd w:val="clear" w:color="auto" w:fill="auto"/>
            <w:noWrap/>
            <w:vAlign w:val="center"/>
          </w:tcPr>
          <w:p w14:paraId="1854FAA3" w14:textId="77777777" w:rsidR="00812B7B" w:rsidRPr="00A61D3E" w:rsidRDefault="00812B7B" w:rsidP="00FF2DDC">
            <w:pPr>
              <w:rPr>
                <w:rFonts w:ascii="Verdana" w:hAnsi="Verdana"/>
                <w:sz w:val="20"/>
                <w:szCs w:val="20"/>
                <w:lang w:eastAsia="en-GB"/>
              </w:rPr>
            </w:pPr>
            <w:r w:rsidRPr="00A61D3E">
              <w:rPr>
                <w:rFonts w:ascii="Verdana" w:hAnsi="Verdana"/>
                <w:sz w:val="20"/>
                <w:szCs w:val="20"/>
                <w:lang w:eastAsia="en-GB"/>
              </w:rPr>
              <w:t>INTEGRALNA SREDSTVA</w:t>
            </w:r>
          </w:p>
        </w:tc>
        <w:tc>
          <w:tcPr>
            <w:tcW w:w="1134" w:type="dxa"/>
            <w:tcBorders>
              <w:top w:val="single" w:sz="12" w:space="0" w:color="000000"/>
              <w:left w:val="nil"/>
              <w:bottom w:val="single" w:sz="12" w:space="0" w:color="000000"/>
              <w:right w:val="nil"/>
            </w:tcBorders>
            <w:shd w:val="clear" w:color="auto" w:fill="auto"/>
            <w:noWrap/>
            <w:vAlign w:val="center"/>
          </w:tcPr>
          <w:p w14:paraId="0F200E6B" w14:textId="77777777" w:rsidR="00812B7B" w:rsidRPr="00A61D3E" w:rsidRDefault="00812B7B" w:rsidP="00FF2DDC">
            <w:pPr>
              <w:rPr>
                <w:rFonts w:ascii="Verdana" w:hAnsi="Verdana"/>
                <w:sz w:val="20"/>
                <w:szCs w:val="20"/>
                <w:lang w:val="it-IT" w:eastAsia="en-GB"/>
              </w:rPr>
            </w:pPr>
          </w:p>
        </w:tc>
        <w:tc>
          <w:tcPr>
            <w:tcW w:w="2410" w:type="dxa"/>
            <w:gridSpan w:val="2"/>
            <w:tcBorders>
              <w:top w:val="single" w:sz="12" w:space="0" w:color="000000"/>
              <w:left w:val="nil"/>
              <w:bottom w:val="single" w:sz="12" w:space="0" w:color="000000"/>
            </w:tcBorders>
            <w:shd w:val="clear" w:color="auto" w:fill="auto"/>
            <w:noWrap/>
            <w:vAlign w:val="center"/>
          </w:tcPr>
          <w:p w14:paraId="5BD5D21F" w14:textId="77777777" w:rsidR="00812B7B" w:rsidRPr="00A61D3E" w:rsidRDefault="00812B7B" w:rsidP="00FF2DDC">
            <w:pPr>
              <w:rPr>
                <w:rFonts w:ascii="Verdana" w:hAnsi="Verdana"/>
                <w:sz w:val="20"/>
                <w:szCs w:val="20"/>
                <w:lang w:val="it-IT" w:eastAsia="en-GB"/>
              </w:rPr>
            </w:pPr>
          </w:p>
        </w:tc>
        <w:tc>
          <w:tcPr>
            <w:tcW w:w="1276" w:type="dxa"/>
            <w:tcBorders>
              <w:top w:val="single" w:sz="12" w:space="0" w:color="000000"/>
              <w:left w:val="nil"/>
              <w:bottom w:val="single" w:sz="12" w:space="0" w:color="000000"/>
            </w:tcBorders>
            <w:vAlign w:val="center"/>
          </w:tcPr>
          <w:p w14:paraId="34EAD265" w14:textId="77777777" w:rsidR="00812B7B" w:rsidRPr="00A61D3E" w:rsidRDefault="00812B7B" w:rsidP="00FF2DDC">
            <w:pPr>
              <w:rPr>
                <w:rFonts w:ascii="Verdana" w:hAnsi="Verdana"/>
                <w:sz w:val="20"/>
                <w:szCs w:val="20"/>
                <w:lang w:val="it-IT" w:eastAsia="en-GB"/>
              </w:rPr>
            </w:pPr>
          </w:p>
        </w:tc>
        <w:tc>
          <w:tcPr>
            <w:tcW w:w="1275" w:type="dxa"/>
            <w:tcBorders>
              <w:top w:val="single" w:sz="12" w:space="0" w:color="000000"/>
              <w:left w:val="nil"/>
              <w:bottom w:val="single" w:sz="12" w:space="0" w:color="000000"/>
            </w:tcBorders>
            <w:vAlign w:val="center"/>
          </w:tcPr>
          <w:p w14:paraId="2F962C15" w14:textId="77777777" w:rsidR="00812B7B" w:rsidRPr="00A61D3E" w:rsidRDefault="00812B7B" w:rsidP="00FF2DDC">
            <w:pPr>
              <w:rPr>
                <w:rFonts w:ascii="Verdana" w:hAnsi="Verdana"/>
                <w:sz w:val="20"/>
                <w:szCs w:val="20"/>
                <w:lang w:val="it-IT" w:eastAsia="en-GB"/>
              </w:rPr>
            </w:pPr>
          </w:p>
        </w:tc>
        <w:tc>
          <w:tcPr>
            <w:tcW w:w="1134" w:type="dxa"/>
            <w:tcBorders>
              <w:top w:val="single" w:sz="12" w:space="0" w:color="000000"/>
              <w:left w:val="nil"/>
              <w:bottom w:val="single" w:sz="12" w:space="0" w:color="000000"/>
            </w:tcBorders>
            <w:vAlign w:val="center"/>
          </w:tcPr>
          <w:p w14:paraId="2F25EEBB" w14:textId="77777777" w:rsidR="00812B7B" w:rsidRPr="00A61D3E" w:rsidRDefault="00812B7B" w:rsidP="00FF2DDC">
            <w:pPr>
              <w:rPr>
                <w:rFonts w:ascii="Verdana" w:hAnsi="Verdana"/>
                <w:sz w:val="20"/>
                <w:szCs w:val="20"/>
                <w:lang w:val="it-IT" w:eastAsia="en-GB"/>
              </w:rPr>
            </w:pPr>
          </w:p>
        </w:tc>
        <w:tc>
          <w:tcPr>
            <w:tcW w:w="1134" w:type="dxa"/>
            <w:tcBorders>
              <w:top w:val="single" w:sz="12" w:space="0" w:color="000000"/>
              <w:left w:val="nil"/>
              <w:bottom w:val="single" w:sz="12" w:space="0" w:color="000000"/>
            </w:tcBorders>
          </w:tcPr>
          <w:p w14:paraId="5D445240" w14:textId="77777777" w:rsidR="00812B7B" w:rsidRPr="00A61D3E" w:rsidRDefault="00812B7B" w:rsidP="00FF2DDC">
            <w:pPr>
              <w:rPr>
                <w:rFonts w:ascii="Verdana" w:hAnsi="Verdana"/>
                <w:sz w:val="20"/>
                <w:szCs w:val="20"/>
                <w:lang w:val="it-IT" w:eastAsia="en-GB"/>
              </w:rPr>
            </w:pPr>
          </w:p>
        </w:tc>
      </w:tr>
      <w:tr w:rsidR="00812B7B" w:rsidRPr="00A61D3E" w14:paraId="425ADD0E" w14:textId="77777777" w:rsidTr="00FF2DDC">
        <w:trPr>
          <w:trHeight w:val="220"/>
        </w:trPr>
        <w:tc>
          <w:tcPr>
            <w:tcW w:w="1417" w:type="dxa"/>
            <w:tcBorders>
              <w:top w:val="single" w:sz="12" w:space="0" w:color="000000"/>
            </w:tcBorders>
            <w:shd w:val="clear" w:color="auto" w:fill="auto"/>
            <w:noWrap/>
            <w:vAlign w:val="center"/>
          </w:tcPr>
          <w:p w14:paraId="6AB4DEEF" w14:textId="77777777" w:rsidR="00812B7B" w:rsidRPr="00A61D3E" w:rsidRDefault="00812B7B" w:rsidP="00FF2DDC">
            <w:pPr>
              <w:rPr>
                <w:rFonts w:ascii="Verdana" w:hAnsi="Verdana"/>
                <w:sz w:val="20"/>
                <w:szCs w:val="20"/>
                <w:lang w:eastAsia="en-GB"/>
              </w:rPr>
            </w:pPr>
            <w:r w:rsidRPr="00A61D3E">
              <w:rPr>
                <w:rFonts w:ascii="Verdana" w:hAnsi="Verdana"/>
                <w:sz w:val="20"/>
                <w:szCs w:val="20"/>
                <w:lang w:eastAsia="en-GB"/>
              </w:rPr>
              <w:t>Plače</w:t>
            </w:r>
          </w:p>
        </w:tc>
        <w:tc>
          <w:tcPr>
            <w:tcW w:w="1134" w:type="dxa"/>
            <w:tcBorders>
              <w:top w:val="single" w:sz="12" w:space="0" w:color="000000"/>
            </w:tcBorders>
            <w:shd w:val="clear" w:color="auto" w:fill="auto"/>
            <w:noWrap/>
            <w:vAlign w:val="center"/>
          </w:tcPr>
          <w:p w14:paraId="37D97501" w14:textId="77777777" w:rsidR="00812B7B" w:rsidRPr="00A61D3E" w:rsidRDefault="00812B7B" w:rsidP="00FF2DDC">
            <w:pPr>
              <w:rPr>
                <w:rFonts w:ascii="Verdana" w:hAnsi="Verdana"/>
                <w:sz w:val="16"/>
                <w:szCs w:val="16"/>
                <w:lang w:val="it-IT" w:eastAsia="en-GB"/>
              </w:rPr>
            </w:pPr>
            <w:r w:rsidRPr="00A61D3E">
              <w:rPr>
                <w:rFonts w:ascii="Verdana" w:hAnsi="Verdana"/>
                <w:sz w:val="16"/>
                <w:szCs w:val="16"/>
                <w:lang w:val="it-IT" w:eastAsia="en-GB"/>
              </w:rPr>
              <w:t>343.976</w:t>
            </w:r>
          </w:p>
        </w:tc>
        <w:tc>
          <w:tcPr>
            <w:tcW w:w="1276" w:type="dxa"/>
            <w:tcBorders>
              <w:top w:val="single" w:sz="12" w:space="0" w:color="000000"/>
            </w:tcBorders>
            <w:shd w:val="clear" w:color="auto" w:fill="auto"/>
            <w:noWrap/>
            <w:vAlign w:val="center"/>
          </w:tcPr>
          <w:p w14:paraId="2C6A7CB5" w14:textId="77777777" w:rsidR="00812B7B" w:rsidRPr="00A61D3E" w:rsidRDefault="00812B7B" w:rsidP="00FF2DDC">
            <w:pPr>
              <w:rPr>
                <w:rFonts w:ascii="Verdana" w:hAnsi="Verdana"/>
                <w:sz w:val="16"/>
                <w:szCs w:val="16"/>
                <w:lang w:val="it-IT" w:eastAsia="en-GB"/>
              </w:rPr>
            </w:pPr>
            <w:r w:rsidRPr="00A61D3E">
              <w:rPr>
                <w:rFonts w:ascii="Verdana" w:hAnsi="Verdana"/>
                <w:sz w:val="16"/>
                <w:szCs w:val="16"/>
                <w:lang w:val="it-IT" w:eastAsia="en-GB"/>
              </w:rPr>
              <w:t>295.849</w:t>
            </w:r>
          </w:p>
        </w:tc>
        <w:tc>
          <w:tcPr>
            <w:tcW w:w="1134" w:type="dxa"/>
            <w:tcBorders>
              <w:top w:val="single" w:sz="12" w:space="0" w:color="000000"/>
            </w:tcBorders>
            <w:shd w:val="clear" w:color="auto" w:fill="auto"/>
            <w:vAlign w:val="center"/>
          </w:tcPr>
          <w:p w14:paraId="0C3F0153" w14:textId="77777777" w:rsidR="00812B7B" w:rsidRPr="00A61D3E" w:rsidRDefault="00812B7B" w:rsidP="00FF2DDC">
            <w:pPr>
              <w:rPr>
                <w:rFonts w:ascii="Verdana" w:hAnsi="Verdana"/>
                <w:sz w:val="16"/>
                <w:szCs w:val="16"/>
                <w:lang w:val="it-IT" w:eastAsia="en-GB"/>
              </w:rPr>
            </w:pPr>
            <w:r w:rsidRPr="00A61D3E">
              <w:rPr>
                <w:rFonts w:ascii="Verdana" w:hAnsi="Verdana"/>
                <w:sz w:val="16"/>
                <w:szCs w:val="16"/>
                <w:lang w:val="it-IT" w:eastAsia="en-GB"/>
              </w:rPr>
              <w:t>304.464</w:t>
            </w:r>
          </w:p>
        </w:tc>
        <w:tc>
          <w:tcPr>
            <w:tcW w:w="1276" w:type="dxa"/>
            <w:tcBorders>
              <w:top w:val="single" w:sz="12" w:space="0" w:color="000000"/>
            </w:tcBorders>
            <w:vAlign w:val="center"/>
          </w:tcPr>
          <w:p w14:paraId="68229143" w14:textId="77777777" w:rsidR="00812B7B" w:rsidRPr="00A61D3E" w:rsidRDefault="00812B7B" w:rsidP="00FF2DDC">
            <w:pPr>
              <w:rPr>
                <w:rFonts w:ascii="Verdana" w:hAnsi="Verdana"/>
                <w:sz w:val="16"/>
                <w:szCs w:val="16"/>
                <w:lang w:val="it-IT" w:eastAsia="en-GB"/>
              </w:rPr>
            </w:pPr>
            <w:r w:rsidRPr="00A61D3E">
              <w:rPr>
                <w:rFonts w:ascii="Verdana" w:hAnsi="Verdana"/>
                <w:sz w:val="16"/>
                <w:szCs w:val="16"/>
                <w:lang w:val="it-IT" w:eastAsia="en-GB"/>
              </w:rPr>
              <w:t>385.307</w:t>
            </w:r>
          </w:p>
        </w:tc>
        <w:tc>
          <w:tcPr>
            <w:tcW w:w="1275" w:type="dxa"/>
            <w:tcBorders>
              <w:top w:val="single" w:sz="12" w:space="0" w:color="000000"/>
            </w:tcBorders>
            <w:vAlign w:val="center"/>
          </w:tcPr>
          <w:p w14:paraId="112B9574" w14:textId="77777777" w:rsidR="00812B7B" w:rsidRPr="00A61D3E" w:rsidRDefault="00812B7B" w:rsidP="00FF2DDC">
            <w:pPr>
              <w:rPr>
                <w:rFonts w:ascii="Verdana" w:hAnsi="Verdana"/>
                <w:sz w:val="16"/>
                <w:szCs w:val="16"/>
                <w:lang w:val="it-IT" w:eastAsia="en-GB"/>
              </w:rPr>
            </w:pPr>
            <w:r w:rsidRPr="00A61D3E">
              <w:rPr>
                <w:rFonts w:ascii="Verdana" w:hAnsi="Verdana"/>
                <w:sz w:val="16"/>
                <w:szCs w:val="16"/>
                <w:lang w:val="it-IT" w:eastAsia="en-GB"/>
              </w:rPr>
              <w:t>569.367</w:t>
            </w:r>
          </w:p>
        </w:tc>
        <w:tc>
          <w:tcPr>
            <w:tcW w:w="1134" w:type="dxa"/>
            <w:tcBorders>
              <w:top w:val="single" w:sz="12" w:space="0" w:color="000000"/>
            </w:tcBorders>
            <w:vAlign w:val="center"/>
          </w:tcPr>
          <w:p w14:paraId="50113C03" w14:textId="77777777" w:rsidR="00812B7B" w:rsidRPr="00A61D3E" w:rsidRDefault="00812B7B" w:rsidP="00FF2DDC">
            <w:pPr>
              <w:rPr>
                <w:rFonts w:ascii="Verdana" w:hAnsi="Verdana"/>
                <w:sz w:val="16"/>
                <w:szCs w:val="16"/>
                <w:lang w:val="it-IT" w:eastAsia="en-GB"/>
              </w:rPr>
            </w:pPr>
            <w:r w:rsidRPr="00A61D3E">
              <w:rPr>
                <w:rFonts w:ascii="Verdana" w:hAnsi="Verdana"/>
                <w:sz w:val="16"/>
                <w:szCs w:val="16"/>
                <w:lang w:val="it-IT" w:eastAsia="en-GB"/>
              </w:rPr>
              <w:t>575.233</w:t>
            </w:r>
          </w:p>
        </w:tc>
        <w:tc>
          <w:tcPr>
            <w:tcW w:w="1134" w:type="dxa"/>
            <w:tcBorders>
              <w:top w:val="single" w:sz="12" w:space="0" w:color="000000"/>
            </w:tcBorders>
            <w:vAlign w:val="center"/>
          </w:tcPr>
          <w:p w14:paraId="403813C2" w14:textId="77777777" w:rsidR="00812B7B" w:rsidRPr="00A61D3E" w:rsidRDefault="00812B7B" w:rsidP="00FF2DDC">
            <w:pPr>
              <w:rPr>
                <w:rFonts w:ascii="Verdana" w:hAnsi="Verdana"/>
                <w:sz w:val="16"/>
                <w:szCs w:val="16"/>
                <w:lang w:val="it-IT" w:eastAsia="en-GB"/>
              </w:rPr>
            </w:pPr>
            <w:r w:rsidRPr="00A61D3E">
              <w:rPr>
                <w:rFonts w:ascii="Verdana" w:hAnsi="Verdana"/>
                <w:sz w:val="16"/>
                <w:szCs w:val="16"/>
                <w:lang w:val="it-IT" w:eastAsia="en-GB"/>
              </w:rPr>
              <w:t>625.920</w:t>
            </w:r>
          </w:p>
        </w:tc>
      </w:tr>
      <w:tr w:rsidR="00812B7B" w:rsidRPr="00A61D3E" w14:paraId="14F15D23" w14:textId="77777777" w:rsidTr="00FF2DDC">
        <w:trPr>
          <w:trHeight w:val="220"/>
        </w:trPr>
        <w:tc>
          <w:tcPr>
            <w:tcW w:w="1417" w:type="dxa"/>
            <w:shd w:val="clear" w:color="auto" w:fill="auto"/>
            <w:noWrap/>
            <w:vAlign w:val="center"/>
          </w:tcPr>
          <w:p w14:paraId="3B580A42" w14:textId="77777777" w:rsidR="00812B7B" w:rsidRPr="00A61D3E" w:rsidRDefault="00812B7B" w:rsidP="00FF2DDC">
            <w:pPr>
              <w:rPr>
                <w:rFonts w:ascii="Verdana" w:hAnsi="Verdana"/>
                <w:sz w:val="20"/>
                <w:szCs w:val="20"/>
                <w:lang w:eastAsia="en-GB"/>
              </w:rPr>
            </w:pPr>
            <w:r w:rsidRPr="00A61D3E">
              <w:rPr>
                <w:rFonts w:ascii="Verdana" w:hAnsi="Verdana"/>
                <w:sz w:val="20"/>
                <w:szCs w:val="20"/>
                <w:lang w:eastAsia="en-GB"/>
              </w:rPr>
              <w:t>Materialni stroški</w:t>
            </w:r>
          </w:p>
        </w:tc>
        <w:tc>
          <w:tcPr>
            <w:tcW w:w="1134" w:type="dxa"/>
            <w:shd w:val="clear" w:color="auto" w:fill="auto"/>
            <w:noWrap/>
            <w:vAlign w:val="center"/>
          </w:tcPr>
          <w:p w14:paraId="3B8E5E8B" w14:textId="77777777" w:rsidR="00812B7B" w:rsidRPr="00A61D3E" w:rsidRDefault="00812B7B" w:rsidP="00FF2DDC">
            <w:pPr>
              <w:rPr>
                <w:rFonts w:ascii="Verdana" w:hAnsi="Verdana"/>
                <w:sz w:val="16"/>
                <w:szCs w:val="16"/>
              </w:rPr>
            </w:pPr>
            <w:r w:rsidRPr="00A61D3E">
              <w:rPr>
                <w:rFonts w:ascii="Verdana" w:hAnsi="Verdana"/>
                <w:sz w:val="16"/>
                <w:szCs w:val="16"/>
              </w:rPr>
              <w:t>174.151</w:t>
            </w:r>
          </w:p>
        </w:tc>
        <w:tc>
          <w:tcPr>
            <w:tcW w:w="1276" w:type="dxa"/>
            <w:shd w:val="clear" w:color="auto" w:fill="auto"/>
            <w:noWrap/>
            <w:vAlign w:val="center"/>
          </w:tcPr>
          <w:p w14:paraId="5FCDC8CB" w14:textId="77777777" w:rsidR="00812B7B" w:rsidRPr="00A61D3E" w:rsidRDefault="00812B7B" w:rsidP="00FF2DDC">
            <w:pPr>
              <w:rPr>
                <w:rFonts w:ascii="Verdana" w:hAnsi="Verdana"/>
                <w:sz w:val="16"/>
                <w:szCs w:val="16"/>
              </w:rPr>
            </w:pPr>
            <w:r w:rsidRPr="00A61D3E">
              <w:rPr>
                <w:rFonts w:ascii="Verdana" w:hAnsi="Verdana"/>
                <w:sz w:val="16"/>
                <w:szCs w:val="16"/>
              </w:rPr>
              <w:t>130.770</w:t>
            </w:r>
          </w:p>
        </w:tc>
        <w:tc>
          <w:tcPr>
            <w:tcW w:w="1134" w:type="dxa"/>
            <w:shd w:val="clear" w:color="auto" w:fill="auto"/>
            <w:vAlign w:val="center"/>
          </w:tcPr>
          <w:p w14:paraId="749D0CD4" w14:textId="77777777" w:rsidR="00812B7B" w:rsidRPr="00A61D3E" w:rsidRDefault="00812B7B" w:rsidP="00FF2DDC">
            <w:pPr>
              <w:rPr>
                <w:rFonts w:ascii="Verdana" w:hAnsi="Verdana"/>
                <w:sz w:val="16"/>
                <w:szCs w:val="16"/>
              </w:rPr>
            </w:pPr>
            <w:r w:rsidRPr="00A61D3E">
              <w:rPr>
                <w:rFonts w:ascii="Verdana" w:hAnsi="Verdana"/>
                <w:sz w:val="16"/>
                <w:szCs w:val="16"/>
              </w:rPr>
              <w:t>133.878</w:t>
            </w:r>
          </w:p>
        </w:tc>
        <w:tc>
          <w:tcPr>
            <w:tcW w:w="1276" w:type="dxa"/>
            <w:vAlign w:val="center"/>
          </w:tcPr>
          <w:p w14:paraId="48020F3C" w14:textId="77777777" w:rsidR="00812B7B" w:rsidRPr="00A61D3E" w:rsidRDefault="00812B7B" w:rsidP="00FF2DDC">
            <w:pPr>
              <w:rPr>
                <w:rFonts w:ascii="Verdana" w:hAnsi="Verdana"/>
                <w:sz w:val="16"/>
                <w:szCs w:val="16"/>
              </w:rPr>
            </w:pPr>
            <w:r w:rsidRPr="00A61D3E">
              <w:rPr>
                <w:rFonts w:ascii="Verdana" w:hAnsi="Verdana"/>
                <w:sz w:val="16"/>
                <w:szCs w:val="16"/>
              </w:rPr>
              <w:t>145.745</w:t>
            </w:r>
          </w:p>
        </w:tc>
        <w:tc>
          <w:tcPr>
            <w:tcW w:w="1275" w:type="dxa"/>
            <w:vAlign w:val="center"/>
          </w:tcPr>
          <w:p w14:paraId="120F5222" w14:textId="77777777" w:rsidR="00812B7B" w:rsidRPr="00A61D3E" w:rsidRDefault="00812B7B" w:rsidP="00FF2DDC">
            <w:pPr>
              <w:rPr>
                <w:rFonts w:ascii="Verdana" w:hAnsi="Verdana"/>
                <w:sz w:val="16"/>
                <w:szCs w:val="16"/>
              </w:rPr>
            </w:pPr>
            <w:r w:rsidRPr="00A61D3E">
              <w:rPr>
                <w:rFonts w:ascii="Verdana" w:hAnsi="Verdana"/>
                <w:sz w:val="16"/>
                <w:szCs w:val="16"/>
              </w:rPr>
              <w:t>215.715</w:t>
            </w:r>
          </w:p>
        </w:tc>
        <w:tc>
          <w:tcPr>
            <w:tcW w:w="1134" w:type="dxa"/>
            <w:vAlign w:val="center"/>
          </w:tcPr>
          <w:p w14:paraId="70CE93F4" w14:textId="77777777" w:rsidR="00812B7B" w:rsidRPr="00A61D3E" w:rsidRDefault="00812B7B" w:rsidP="00FF2DDC">
            <w:pPr>
              <w:rPr>
                <w:rFonts w:ascii="Verdana" w:hAnsi="Verdana"/>
                <w:sz w:val="16"/>
                <w:szCs w:val="16"/>
              </w:rPr>
            </w:pPr>
            <w:r w:rsidRPr="00A61D3E">
              <w:rPr>
                <w:rFonts w:ascii="Verdana" w:hAnsi="Verdana"/>
                <w:sz w:val="16"/>
                <w:szCs w:val="16"/>
              </w:rPr>
              <w:t>208.000</w:t>
            </w:r>
          </w:p>
        </w:tc>
        <w:tc>
          <w:tcPr>
            <w:tcW w:w="1134" w:type="dxa"/>
            <w:vAlign w:val="center"/>
          </w:tcPr>
          <w:p w14:paraId="400EDAEC" w14:textId="77777777" w:rsidR="00812B7B" w:rsidRPr="00A61D3E" w:rsidRDefault="00812B7B" w:rsidP="00FF2DDC">
            <w:pPr>
              <w:rPr>
                <w:rFonts w:ascii="Verdana" w:hAnsi="Verdana"/>
                <w:sz w:val="16"/>
                <w:szCs w:val="16"/>
              </w:rPr>
            </w:pPr>
            <w:r w:rsidRPr="00A61D3E">
              <w:rPr>
                <w:rFonts w:ascii="Verdana" w:hAnsi="Verdana"/>
                <w:sz w:val="16"/>
                <w:szCs w:val="16"/>
              </w:rPr>
              <w:t>269.996</w:t>
            </w:r>
          </w:p>
        </w:tc>
      </w:tr>
      <w:tr w:rsidR="00812B7B" w:rsidRPr="00A61D3E" w14:paraId="73DA6A1B" w14:textId="77777777" w:rsidTr="00FF2DDC">
        <w:trPr>
          <w:trHeight w:val="220"/>
        </w:trPr>
        <w:tc>
          <w:tcPr>
            <w:tcW w:w="1417" w:type="dxa"/>
            <w:shd w:val="clear" w:color="auto" w:fill="auto"/>
            <w:noWrap/>
            <w:vAlign w:val="center"/>
          </w:tcPr>
          <w:p w14:paraId="24564E72" w14:textId="77777777" w:rsidR="00812B7B" w:rsidRPr="00A61D3E" w:rsidRDefault="00812B7B" w:rsidP="00FF2DDC">
            <w:pPr>
              <w:rPr>
                <w:rFonts w:ascii="Verdana" w:hAnsi="Verdana"/>
                <w:sz w:val="20"/>
                <w:szCs w:val="20"/>
                <w:lang w:eastAsia="en-GB"/>
              </w:rPr>
            </w:pPr>
            <w:r w:rsidRPr="00A61D3E">
              <w:rPr>
                <w:rFonts w:ascii="Verdana" w:hAnsi="Verdana"/>
                <w:sz w:val="20"/>
                <w:szCs w:val="20"/>
                <w:lang w:eastAsia="en-GB"/>
              </w:rPr>
              <w:t>Investicije</w:t>
            </w:r>
          </w:p>
        </w:tc>
        <w:tc>
          <w:tcPr>
            <w:tcW w:w="1134" w:type="dxa"/>
            <w:shd w:val="clear" w:color="auto" w:fill="auto"/>
            <w:noWrap/>
            <w:vAlign w:val="center"/>
          </w:tcPr>
          <w:p w14:paraId="1E0C21D0" w14:textId="77777777" w:rsidR="00812B7B" w:rsidRPr="00A61D3E" w:rsidRDefault="00812B7B" w:rsidP="00FF2DDC">
            <w:pPr>
              <w:rPr>
                <w:rFonts w:ascii="Verdana" w:hAnsi="Verdana"/>
                <w:sz w:val="16"/>
                <w:szCs w:val="16"/>
              </w:rPr>
            </w:pPr>
            <w:r w:rsidRPr="00A61D3E">
              <w:rPr>
                <w:rFonts w:ascii="Verdana" w:hAnsi="Verdana"/>
                <w:sz w:val="16"/>
                <w:szCs w:val="16"/>
              </w:rPr>
              <w:t>12.525</w:t>
            </w:r>
          </w:p>
        </w:tc>
        <w:tc>
          <w:tcPr>
            <w:tcW w:w="1276" w:type="dxa"/>
            <w:shd w:val="clear" w:color="auto" w:fill="auto"/>
            <w:noWrap/>
            <w:vAlign w:val="center"/>
          </w:tcPr>
          <w:p w14:paraId="5279FD75" w14:textId="77777777" w:rsidR="00812B7B" w:rsidRPr="00A61D3E" w:rsidRDefault="00812B7B" w:rsidP="00FF2DDC">
            <w:pPr>
              <w:rPr>
                <w:rFonts w:ascii="Verdana" w:hAnsi="Verdana"/>
                <w:sz w:val="16"/>
                <w:szCs w:val="16"/>
              </w:rPr>
            </w:pPr>
            <w:r w:rsidRPr="00A61D3E">
              <w:rPr>
                <w:rFonts w:ascii="Verdana" w:hAnsi="Verdana"/>
                <w:sz w:val="16"/>
                <w:szCs w:val="16"/>
              </w:rPr>
              <w:t>1.828</w:t>
            </w:r>
          </w:p>
        </w:tc>
        <w:tc>
          <w:tcPr>
            <w:tcW w:w="1134" w:type="dxa"/>
            <w:shd w:val="clear" w:color="auto" w:fill="auto"/>
            <w:vAlign w:val="center"/>
          </w:tcPr>
          <w:p w14:paraId="2CFD43A0" w14:textId="77777777" w:rsidR="00812B7B" w:rsidRPr="00A61D3E" w:rsidRDefault="00812B7B" w:rsidP="00FF2DDC">
            <w:pPr>
              <w:rPr>
                <w:rFonts w:ascii="Verdana" w:hAnsi="Verdana"/>
                <w:sz w:val="16"/>
                <w:szCs w:val="16"/>
              </w:rPr>
            </w:pPr>
            <w:r w:rsidRPr="00A61D3E">
              <w:rPr>
                <w:rFonts w:ascii="Verdana" w:hAnsi="Verdana"/>
                <w:sz w:val="16"/>
                <w:szCs w:val="16"/>
              </w:rPr>
              <w:t>1.157</w:t>
            </w:r>
          </w:p>
        </w:tc>
        <w:tc>
          <w:tcPr>
            <w:tcW w:w="1276" w:type="dxa"/>
            <w:vAlign w:val="center"/>
          </w:tcPr>
          <w:p w14:paraId="0B182DF7" w14:textId="77777777" w:rsidR="00812B7B" w:rsidRPr="00A61D3E" w:rsidRDefault="00812B7B" w:rsidP="00FF2DDC">
            <w:pPr>
              <w:rPr>
                <w:rFonts w:ascii="Verdana" w:hAnsi="Verdana"/>
                <w:sz w:val="16"/>
                <w:szCs w:val="16"/>
              </w:rPr>
            </w:pPr>
            <w:r w:rsidRPr="00A61D3E">
              <w:rPr>
                <w:rFonts w:ascii="Verdana" w:hAnsi="Verdana"/>
                <w:sz w:val="16"/>
                <w:szCs w:val="16"/>
              </w:rPr>
              <w:t>111</w:t>
            </w:r>
          </w:p>
        </w:tc>
        <w:tc>
          <w:tcPr>
            <w:tcW w:w="1275" w:type="dxa"/>
            <w:vAlign w:val="center"/>
          </w:tcPr>
          <w:p w14:paraId="39A8123B" w14:textId="77777777" w:rsidR="00812B7B" w:rsidRPr="00A61D3E" w:rsidRDefault="00812B7B" w:rsidP="00FF2DDC">
            <w:pPr>
              <w:rPr>
                <w:rFonts w:ascii="Verdana" w:hAnsi="Verdana"/>
                <w:sz w:val="16"/>
                <w:szCs w:val="16"/>
              </w:rPr>
            </w:pPr>
            <w:r w:rsidRPr="00A61D3E">
              <w:rPr>
                <w:rFonts w:ascii="Verdana" w:hAnsi="Verdana"/>
                <w:sz w:val="16"/>
                <w:szCs w:val="16"/>
              </w:rPr>
              <w:t>30.947</w:t>
            </w:r>
          </w:p>
        </w:tc>
        <w:tc>
          <w:tcPr>
            <w:tcW w:w="1134" w:type="dxa"/>
            <w:vAlign w:val="center"/>
          </w:tcPr>
          <w:p w14:paraId="7FD02F6E" w14:textId="77777777" w:rsidR="00812B7B" w:rsidRPr="00A61D3E" w:rsidRDefault="00812B7B" w:rsidP="00FF2DDC">
            <w:pPr>
              <w:rPr>
                <w:rFonts w:ascii="Verdana" w:hAnsi="Verdana"/>
                <w:sz w:val="16"/>
                <w:szCs w:val="16"/>
              </w:rPr>
            </w:pPr>
            <w:r w:rsidRPr="00A61D3E">
              <w:rPr>
                <w:rFonts w:ascii="Verdana" w:hAnsi="Verdana"/>
                <w:sz w:val="16"/>
                <w:szCs w:val="16"/>
              </w:rPr>
              <w:t>49.013</w:t>
            </w:r>
          </w:p>
        </w:tc>
        <w:tc>
          <w:tcPr>
            <w:tcW w:w="1134" w:type="dxa"/>
            <w:vAlign w:val="center"/>
          </w:tcPr>
          <w:p w14:paraId="70B89288" w14:textId="77777777" w:rsidR="00812B7B" w:rsidRPr="00A61D3E" w:rsidRDefault="00812B7B" w:rsidP="00FF2DDC">
            <w:pPr>
              <w:rPr>
                <w:rFonts w:ascii="Verdana" w:hAnsi="Verdana"/>
                <w:sz w:val="16"/>
                <w:szCs w:val="16"/>
              </w:rPr>
            </w:pPr>
            <w:r w:rsidRPr="00A61D3E">
              <w:rPr>
                <w:rFonts w:ascii="Verdana" w:hAnsi="Verdana"/>
                <w:sz w:val="16"/>
                <w:szCs w:val="16"/>
              </w:rPr>
              <w:t>45.497</w:t>
            </w:r>
          </w:p>
        </w:tc>
      </w:tr>
      <w:tr w:rsidR="00812B7B" w:rsidRPr="00A61D3E" w14:paraId="129A82E1" w14:textId="77777777" w:rsidTr="00FF2DDC">
        <w:trPr>
          <w:trHeight w:val="220"/>
        </w:trPr>
        <w:tc>
          <w:tcPr>
            <w:tcW w:w="1417" w:type="dxa"/>
            <w:shd w:val="clear" w:color="auto" w:fill="auto"/>
            <w:noWrap/>
            <w:vAlign w:val="center"/>
          </w:tcPr>
          <w:p w14:paraId="45ABD07E" w14:textId="77777777" w:rsidR="00812B7B" w:rsidRPr="00A61D3E" w:rsidRDefault="00812B7B" w:rsidP="00FF2DDC">
            <w:pPr>
              <w:rPr>
                <w:rFonts w:ascii="Verdana" w:hAnsi="Verdana"/>
                <w:sz w:val="20"/>
                <w:szCs w:val="20"/>
                <w:lang w:eastAsia="en-GB"/>
              </w:rPr>
            </w:pPr>
            <w:r w:rsidRPr="00A61D3E">
              <w:rPr>
                <w:rFonts w:ascii="Verdana" w:hAnsi="Verdana"/>
                <w:sz w:val="20"/>
                <w:szCs w:val="20"/>
                <w:lang w:eastAsia="en-GB"/>
              </w:rPr>
              <w:t>Sejnine sveta</w:t>
            </w:r>
          </w:p>
        </w:tc>
        <w:tc>
          <w:tcPr>
            <w:tcW w:w="1134" w:type="dxa"/>
            <w:shd w:val="clear" w:color="auto" w:fill="auto"/>
            <w:noWrap/>
            <w:vAlign w:val="center"/>
          </w:tcPr>
          <w:p w14:paraId="6B6A3B5A" w14:textId="77777777" w:rsidR="00812B7B" w:rsidRPr="00A61D3E" w:rsidRDefault="00812B7B" w:rsidP="00FF2DDC">
            <w:pPr>
              <w:rPr>
                <w:rFonts w:ascii="Verdana" w:hAnsi="Verdana"/>
                <w:sz w:val="16"/>
                <w:szCs w:val="16"/>
              </w:rPr>
            </w:pPr>
            <w:r w:rsidRPr="00A61D3E">
              <w:rPr>
                <w:rFonts w:ascii="Verdana" w:hAnsi="Verdana"/>
                <w:sz w:val="16"/>
                <w:szCs w:val="16"/>
              </w:rPr>
              <w:t>75.300</w:t>
            </w:r>
          </w:p>
        </w:tc>
        <w:tc>
          <w:tcPr>
            <w:tcW w:w="1276" w:type="dxa"/>
            <w:shd w:val="clear" w:color="auto" w:fill="auto"/>
            <w:noWrap/>
            <w:vAlign w:val="center"/>
          </w:tcPr>
          <w:p w14:paraId="6573D3C5" w14:textId="77777777" w:rsidR="00812B7B" w:rsidRPr="00A61D3E" w:rsidRDefault="00812B7B" w:rsidP="00FF2DDC">
            <w:pPr>
              <w:rPr>
                <w:rFonts w:ascii="Verdana" w:hAnsi="Verdana"/>
                <w:sz w:val="16"/>
                <w:szCs w:val="16"/>
              </w:rPr>
            </w:pPr>
            <w:r w:rsidRPr="00A61D3E">
              <w:rPr>
                <w:rFonts w:ascii="Verdana" w:hAnsi="Verdana"/>
                <w:sz w:val="16"/>
                <w:szCs w:val="16"/>
              </w:rPr>
              <w:t>38.000</w:t>
            </w:r>
          </w:p>
        </w:tc>
        <w:tc>
          <w:tcPr>
            <w:tcW w:w="1134" w:type="dxa"/>
            <w:shd w:val="clear" w:color="auto" w:fill="auto"/>
            <w:vAlign w:val="center"/>
          </w:tcPr>
          <w:p w14:paraId="279011F2" w14:textId="77777777" w:rsidR="00812B7B" w:rsidRPr="00A61D3E" w:rsidRDefault="00812B7B" w:rsidP="00FF2DDC">
            <w:pPr>
              <w:rPr>
                <w:rFonts w:ascii="Verdana" w:hAnsi="Verdana"/>
                <w:sz w:val="16"/>
                <w:szCs w:val="16"/>
              </w:rPr>
            </w:pPr>
            <w:r w:rsidRPr="00A61D3E">
              <w:rPr>
                <w:rFonts w:ascii="Verdana" w:hAnsi="Verdana"/>
                <w:sz w:val="16"/>
                <w:szCs w:val="16"/>
              </w:rPr>
              <w:t>32.079</w:t>
            </w:r>
          </w:p>
        </w:tc>
        <w:tc>
          <w:tcPr>
            <w:tcW w:w="1276" w:type="dxa"/>
            <w:tcBorders>
              <w:bottom w:val="single" w:sz="6" w:space="0" w:color="000000"/>
            </w:tcBorders>
            <w:vAlign w:val="center"/>
          </w:tcPr>
          <w:p w14:paraId="5D0D4189" w14:textId="77777777" w:rsidR="00812B7B" w:rsidRPr="00A61D3E" w:rsidRDefault="00812B7B" w:rsidP="00FF2DDC">
            <w:pPr>
              <w:rPr>
                <w:rFonts w:ascii="Verdana" w:hAnsi="Verdana"/>
                <w:sz w:val="16"/>
                <w:szCs w:val="16"/>
              </w:rPr>
            </w:pPr>
            <w:r w:rsidRPr="00A61D3E">
              <w:rPr>
                <w:rFonts w:ascii="Verdana" w:hAnsi="Verdana"/>
                <w:sz w:val="16"/>
                <w:szCs w:val="16"/>
              </w:rPr>
              <w:t>26.607</w:t>
            </w:r>
          </w:p>
        </w:tc>
        <w:tc>
          <w:tcPr>
            <w:tcW w:w="1275" w:type="dxa"/>
            <w:tcBorders>
              <w:bottom w:val="single" w:sz="6" w:space="0" w:color="000000"/>
            </w:tcBorders>
            <w:vAlign w:val="center"/>
          </w:tcPr>
          <w:p w14:paraId="60980FB1" w14:textId="77777777" w:rsidR="00812B7B" w:rsidRPr="00A61D3E" w:rsidRDefault="00812B7B" w:rsidP="00FF2DDC">
            <w:pPr>
              <w:rPr>
                <w:rFonts w:ascii="Verdana" w:hAnsi="Verdana"/>
                <w:sz w:val="16"/>
                <w:szCs w:val="16"/>
              </w:rPr>
            </w:pPr>
            <w:r w:rsidRPr="00A61D3E">
              <w:rPr>
                <w:rFonts w:ascii="Verdana" w:hAnsi="Verdana"/>
                <w:sz w:val="16"/>
                <w:szCs w:val="16"/>
              </w:rPr>
              <w:t>30.472</w:t>
            </w:r>
          </w:p>
        </w:tc>
        <w:tc>
          <w:tcPr>
            <w:tcW w:w="1134" w:type="dxa"/>
            <w:tcBorders>
              <w:bottom w:val="single" w:sz="6" w:space="0" w:color="000000"/>
            </w:tcBorders>
            <w:vAlign w:val="center"/>
          </w:tcPr>
          <w:p w14:paraId="449EDADC" w14:textId="77777777" w:rsidR="00812B7B" w:rsidRPr="00A61D3E" w:rsidRDefault="00812B7B" w:rsidP="00FF2DDC">
            <w:pPr>
              <w:rPr>
                <w:rFonts w:ascii="Verdana" w:hAnsi="Verdana"/>
                <w:sz w:val="16"/>
                <w:szCs w:val="16"/>
              </w:rPr>
            </w:pPr>
            <w:r w:rsidRPr="00A61D3E">
              <w:rPr>
                <w:rFonts w:ascii="Verdana" w:hAnsi="Verdana"/>
                <w:sz w:val="16"/>
                <w:szCs w:val="16"/>
              </w:rPr>
              <w:t>32.565</w:t>
            </w:r>
          </w:p>
        </w:tc>
        <w:tc>
          <w:tcPr>
            <w:tcW w:w="1134" w:type="dxa"/>
            <w:tcBorders>
              <w:bottom w:val="single" w:sz="6" w:space="0" w:color="000000"/>
            </w:tcBorders>
            <w:vAlign w:val="center"/>
          </w:tcPr>
          <w:p w14:paraId="1D3EF06F" w14:textId="77777777" w:rsidR="00812B7B" w:rsidRPr="00A61D3E" w:rsidRDefault="00812B7B" w:rsidP="00FF2DDC">
            <w:pPr>
              <w:rPr>
                <w:rFonts w:ascii="Verdana" w:hAnsi="Verdana"/>
                <w:sz w:val="16"/>
                <w:szCs w:val="16"/>
              </w:rPr>
            </w:pPr>
            <w:r w:rsidRPr="00A61D3E">
              <w:rPr>
                <w:rFonts w:ascii="Verdana" w:hAnsi="Verdana"/>
                <w:sz w:val="16"/>
                <w:szCs w:val="16"/>
              </w:rPr>
              <w:t>36.979</w:t>
            </w:r>
          </w:p>
        </w:tc>
      </w:tr>
      <w:tr w:rsidR="00812B7B" w:rsidRPr="00A61D3E" w14:paraId="2EEB33AE" w14:textId="77777777" w:rsidTr="00FF2DDC">
        <w:trPr>
          <w:trHeight w:val="220"/>
        </w:trPr>
        <w:tc>
          <w:tcPr>
            <w:tcW w:w="1417" w:type="dxa"/>
            <w:shd w:val="clear" w:color="auto" w:fill="auto"/>
            <w:noWrap/>
            <w:vAlign w:val="center"/>
          </w:tcPr>
          <w:p w14:paraId="0E28D219" w14:textId="77777777" w:rsidR="00812B7B" w:rsidRPr="00A61D3E" w:rsidRDefault="00812B7B" w:rsidP="00FF2DDC">
            <w:pPr>
              <w:rPr>
                <w:rFonts w:ascii="Verdana" w:hAnsi="Verdana"/>
                <w:sz w:val="20"/>
                <w:szCs w:val="20"/>
                <w:lang w:eastAsia="en-GB"/>
              </w:rPr>
            </w:pPr>
            <w:r w:rsidRPr="00A61D3E">
              <w:rPr>
                <w:rFonts w:ascii="Verdana" w:hAnsi="Verdana"/>
                <w:sz w:val="20"/>
                <w:szCs w:val="20"/>
                <w:lang w:eastAsia="en-GB"/>
              </w:rPr>
              <w:t>Stroški akreditacij</w:t>
            </w:r>
          </w:p>
        </w:tc>
        <w:tc>
          <w:tcPr>
            <w:tcW w:w="1134" w:type="dxa"/>
            <w:shd w:val="clear" w:color="auto" w:fill="auto"/>
            <w:noWrap/>
            <w:vAlign w:val="center"/>
          </w:tcPr>
          <w:p w14:paraId="4F10C8B2" w14:textId="77777777" w:rsidR="00812B7B" w:rsidRPr="00A61D3E" w:rsidRDefault="00812B7B" w:rsidP="00FF2DDC">
            <w:pPr>
              <w:rPr>
                <w:rFonts w:ascii="Verdana" w:hAnsi="Verdana"/>
                <w:sz w:val="16"/>
                <w:szCs w:val="16"/>
              </w:rPr>
            </w:pPr>
            <w:r w:rsidRPr="00A61D3E">
              <w:rPr>
                <w:rFonts w:ascii="Verdana" w:hAnsi="Verdana"/>
                <w:sz w:val="16"/>
                <w:szCs w:val="16"/>
              </w:rPr>
              <w:t>0</w:t>
            </w:r>
          </w:p>
        </w:tc>
        <w:tc>
          <w:tcPr>
            <w:tcW w:w="1276" w:type="dxa"/>
            <w:shd w:val="clear" w:color="auto" w:fill="auto"/>
            <w:noWrap/>
            <w:vAlign w:val="center"/>
          </w:tcPr>
          <w:p w14:paraId="51F036AB" w14:textId="77777777" w:rsidR="00812B7B" w:rsidRPr="00A61D3E" w:rsidRDefault="00812B7B" w:rsidP="00FF2DDC">
            <w:pPr>
              <w:rPr>
                <w:rFonts w:ascii="Verdana" w:hAnsi="Verdana"/>
                <w:sz w:val="16"/>
                <w:szCs w:val="16"/>
              </w:rPr>
            </w:pPr>
            <w:r w:rsidRPr="00A61D3E">
              <w:rPr>
                <w:rFonts w:ascii="Verdana" w:hAnsi="Verdana"/>
                <w:sz w:val="16"/>
                <w:szCs w:val="16"/>
              </w:rPr>
              <w:t>0</w:t>
            </w:r>
          </w:p>
        </w:tc>
        <w:tc>
          <w:tcPr>
            <w:tcW w:w="1134" w:type="dxa"/>
            <w:shd w:val="clear" w:color="auto" w:fill="auto"/>
            <w:vAlign w:val="center"/>
          </w:tcPr>
          <w:p w14:paraId="076E2E71" w14:textId="77777777" w:rsidR="00812B7B" w:rsidRPr="00A61D3E" w:rsidRDefault="00812B7B" w:rsidP="00FF2DDC">
            <w:pPr>
              <w:rPr>
                <w:rFonts w:ascii="Verdana" w:hAnsi="Verdana"/>
                <w:sz w:val="16"/>
                <w:szCs w:val="16"/>
              </w:rPr>
            </w:pPr>
            <w:r w:rsidRPr="00A61D3E">
              <w:rPr>
                <w:rFonts w:ascii="Verdana" w:hAnsi="Verdana"/>
                <w:sz w:val="16"/>
                <w:szCs w:val="16"/>
              </w:rPr>
              <w:t>0</w:t>
            </w:r>
          </w:p>
        </w:tc>
        <w:tc>
          <w:tcPr>
            <w:tcW w:w="1276" w:type="dxa"/>
            <w:tcBorders>
              <w:bottom w:val="single" w:sz="6" w:space="0" w:color="000000"/>
            </w:tcBorders>
            <w:vAlign w:val="center"/>
          </w:tcPr>
          <w:p w14:paraId="28F8633E" w14:textId="77777777" w:rsidR="00812B7B" w:rsidRPr="00A61D3E" w:rsidRDefault="00812B7B" w:rsidP="00FF2DDC">
            <w:pPr>
              <w:rPr>
                <w:rFonts w:ascii="Verdana" w:hAnsi="Verdana"/>
                <w:sz w:val="16"/>
                <w:szCs w:val="16"/>
              </w:rPr>
            </w:pPr>
            <w:r w:rsidRPr="00A61D3E">
              <w:rPr>
                <w:rFonts w:ascii="Verdana" w:hAnsi="Verdana"/>
                <w:sz w:val="16"/>
                <w:szCs w:val="16"/>
              </w:rPr>
              <w:t>0</w:t>
            </w:r>
          </w:p>
        </w:tc>
        <w:tc>
          <w:tcPr>
            <w:tcW w:w="1275" w:type="dxa"/>
            <w:tcBorders>
              <w:bottom w:val="single" w:sz="6" w:space="0" w:color="000000"/>
            </w:tcBorders>
            <w:vAlign w:val="center"/>
          </w:tcPr>
          <w:p w14:paraId="5C041238" w14:textId="77777777" w:rsidR="00812B7B" w:rsidRPr="00A61D3E" w:rsidRDefault="00812B7B" w:rsidP="00FF2DDC">
            <w:pPr>
              <w:rPr>
                <w:rFonts w:ascii="Verdana" w:hAnsi="Verdana"/>
                <w:sz w:val="16"/>
                <w:szCs w:val="16"/>
              </w:rPr>
            </w:pPr>
            <w:r w:rsidRPr="00A61D3E">
              <w:rPr>
                <w:rFonts w:ascii="Verdana" w:hAnsi="Verdana"/>
                <w:sz w:val="16"/>
                <w:szCs w:val="16"/>
              </w:rPr>
              <w:t>363.460</w:t>
            </w:r>
          </w:p>
        </w:tc>
        <w:tc>
          <w:tcPr>
            <w:tcW w:w="1134" w:type="dxa"/>
            <w:tcBorders>
              <w:bottom w:val="single" w:sz="6" w:space="0" w:color="000000"/>
            </w:tcBorders>
            <w:vAlign w:val="center"/>
          </w:tcPr>
          <w:p w14:paraId="233BE03D" w14:textId="77777777" w:rsidR="00812B7B" w:rsidRPr="00A61D3E" w:rsidRDefault="00812B7B" w:rsidP="00FF2DDC">
            <w:pPr>
              <w:rPr>
                <w:rFonts w:ascii="Verdana" w:hAnsi="Verdana"/>
                <w:sz w:val="16"/>
                <w:szCs w:val="16"/>
              </w:rPr>
            </w:pPr>
            <w:r w:rsidRPr="00A61D3E">
              <w:rPr>
                <w:rFonts w:ascii="Verdana" w:hAnsi="Verdana"/>
                <w:sz w:val="16"/>
                <w:szCs w:val="16"/>
              </w:rPr>
              <w:t>251.192</w:t>
            </w:r>
          </w:p>
        </w:tc>
        <w:tc>
          <w:tcPr>
            <w:tcW w:w="1134" w:type="dxa"/>
            <w:tcBorders>
              <w:bottom w:val="single" w:sz="6" w:space="0" w:color="000000"/>
            </w:tcBorders>
            <w:vAlign w:val="center"/>
          </w:tcPr>
          <w:p w14:paraId="4B163B3B" w14:textId="77777777" w:rsidR="00812B7B" w:rsidRPr="00A61D3E" w:rsidRDefault="00812B7B" w:rsidP="00FF2DDC">
            <w:pPr>
              <w:rPr>
                <w:rFonts w:ascii="Verdana" w:hAnsi="Verdana"/>
                <w:sz w:val="16"/>
                <w:szCs w:val="16"/>
              </w:rPr>
            </w:pPr>
            <w:r w:rsidRPr="00A61D3E">
              <w:rPr>
                <w:rFonts w:ascii="Verdana" w:hAnsi="Verdana"/>
                <w:sz w:val="16"/>
                <w:szCs w:val="16"/>
              </w:rPr>
              <w:t>121.234</w:t>
            </w:r>
          </w:p>
        </w:tc>
      </w:tr>
      <w:tr w:rsidR="00812B7B" w:rsidRPr="00A61D3E" w14:paraId="31262DB6" w14:textId="77777777" w:rsidTr="00FF2DDC">
        <w:trPr>
          <w:trHeight w:val="220"/>
        </w:trPr>
        <w:tc>
          <w:tcPr>
            <w:tcW w:w="1417" w:type="dxa"/>
            <w:shd w:val="clear" w:color="auto" w:fill="auto"/>
            <w:noWrap/>
            <w:vAlign w:val="center"/>
          </w:tcPr>
          <w:p w14:paraId="46BBB384" w14:textId="77777777" w:rsidR="00812B7B" w:rsidRPr="00A61D3E" w:rsidRDefault="00812B7B" w:rsidP="00FF2DDC">
            <w:pPr>
              <w:rPr>
                <w:rFonts w:ascii="Verdana" w:hAnsi="Verdana"/>
                <w:sz w:val="20"/>
                <w:szCs w:val="20"/>
                <w:lang w:eastAsia="en-GB"/>
              </w:rPr>
            </w:pPr>
            <w:r w:rsidRPr="00A61D3E">
              <w:rPr>
                <w:rFonts w:ascii="Verdana" w:hAnsi="Verdana"/>
                <w:sz w:val="20"/>
                <w:szCs w:val="20"/>
                <w:lang w:eastAsia="en-GB"/>
              </w:rPr>
              <w:t>OS – sredstva odškodnin</w:t>
            </w:r>
          </w:p>
        </w:tc>
        <w:tc>
          <w:tcPr>
            <w:tcW w:w="1134" w:type="dxa"/>
            <w:shd w:val="clear" w:color="auto" w:fill="auto"/>
            <w:noWrap/>
            <w:vAlign w:val="center"/>
          </w:tcPr>
          <w:p w14:paraId="29E2B17C" w14:textId="77777777" w:rsidR="00812B7B" w:rsidRPr="00A61D3E" w:rsidRDefault="00812B7B" w:rsidP="00FF2DDC">
            <w:pPr>
              <w:rPr>
                <w:rFonts w:ascii="Verdana" w:hAnsi="Verdana"/>
                <w:sz w:val="16"/>
                <w:szCs w:val="16"/>
              </w:rPr>
            </w:pPr>
          </w:p>
        </w:tc>
        <w:tc>
          <w:tcPr>
            <w:tcW w:w="1276" w:type="dxa"/>
            <w:shd w:val="clear" w:color="auto" w:fill="auto"/>
            <w:noWrap/>
            <w:vAlign w:val="center"/>
          </w:tcPr>
          <w:p w14:paraId="78BFB66A" w14:textId="77777777" w:rsidR="00812B7B" w:rsidRPr="00A61D3E" w:rsidRDefault="00812B7B" w:rsidP="00FF2DDC">
            <w:pPr>
              <w:rPr>
                <w:rFonts w:ascii="Verdana" w:hAnsi="Verdana"/>
                <w:sz w:val="16"/>
                <w:szCs w:val="16"/>
              </w:rPr>
            </w:pPr>
          </w:p>
        </w:tc>
        <w:tc>
          <w:tcPr>
            <w:tcW w:w="1134" w:type="dxa"/>
            <w:shd w:val="clear" w:color="auto" w:fill="auto"/>
            <w:vAlign w:val="center"/>
          </w:tcPr>
          <w:p w14:paraId="6DC5EE93" w14:textId="77777777" w:rsidR="00812B7B" w:rsidRPr="00A61D3E" w:rsidRDefault="00812B7B" w:rsidP="00FF2DDC">
            <w:pPr>
              <w:rPr>
                <w:rFonts w:ascii="Verdana" w:hAnsi="Verdana"/>
                <w:sz w:val="16"/>
                <w:szCs w:val="16"/>
              </w:rPr>
            </w:pPr>
          </w:p>
        </w:tc>
        <w:tc>
          <w:tcPr>
            <w:tcW w:w="1276" w:type="dxa"/>
            <w:tcBorders>
              <w:bottom w:val="single" w:sz="6" w:space="0" w:color="000000"/>
            </w:tcBorders>
            <w:vAlign w:val="center"/>
          </w:tcPr>
          <w:p w14:paraId="5D5E7729" w14:textId="77777777" w:rsidR="00812B7B" w:rsidRPr="00A61D3E" w:rsidRDefault="00812B7B" w:rsidP="00FF2DDC">
            <w:pPr>
              <w:rPr>
                <w:rFonts w:ascii="Verdana" w:hAnsi="Verdana"/>
                <w:sz w:val="16"/>
                <w:szCs w:val="16"/>
              </w:rPr>
            </w:pPr>
          </w:p>
        </w:tc>
        <w:tc>
          <w:tcPr>
            <w:tcW w:w="1275" w:type="dxa"/>
            <w:tcBorders>
              <w:bottom w:val="single" w:sz="6" w:space="0" w:color="000000"/>
            </w:tcBorders>
            <w:vAlign w:val="center"/>
          </w:tcPr>
          <w:p w14:paraId="0C0E402E" w14:textId="77777777" w:rsidR="00812B7B" w:rsidRPr="00A61D3E" w:rsidRDefault="00812B7B" w:rsidP="00FF2DDC">
            <w:pPr>
              <w:rPr>
                <w:rFonts w:ascii="Verdana" w:hAnsi="Verdana"/>
                <w:sz w:val="16"/>
                <w:szCs w:val="16"/>
              </w:rPr>
            </w:pPr>
          </w:p>
        </w:tc>
        <w:tc>
          <w:tcPr>
            <w:tcW w:w="1134" w:type="dxa"/>
            <w:tcBorders>
              <w:bottom w:val="single" w:sz="6" w:space="0" w:color="000000"/>
            </w:tcBorders>
            <w:vAlign w:val="center"/>
          </w:tcPr>
          <w:p w14:paraId="19C0E7D9" w14:textId="77777777" w:rsidR="00812B7B" w:rsidRPr="00A61D3E" w:rsidRDefault="00812B7B" w:rsidP="00FF2DDC">
            <w:pPr>
              <w:rPr>
                <w:rFonts w:ascii="Verdana" w:hAnsi="Verdana"/>
                <w:sz w:val="16"/>
                <w:szCs w:val="16"/>
              </w:rPr>
            </w:pPr>
          </w:p>
        </w:tc>
        <w:tc>
          <w:tcPr>
            <w:tcW w:w="1134" w:type="dxa"/>
            <w:tcBorders>
              <w:bottom w:val="single" w:sz="6" w:space="0" w:color="000000"/>
            </w:tcBorders>
            <w:vAlign w:val="center"/>
          </w:tcPr>
          <w:p w14:paraId="188B4015" w14:textId="77777777" w:rsidR="00812B7B" w:rsidRPr="00A61D3E" w:rsidRDefault="00812B7B" w:rsidP="00FF2DDC">
            <w:pPr>
              <w:rPr>
                <w:rFonts w:ascii="Verdana" w:hAnsi="Verdana"/>
                <w:sz w:val="16"/>
                <w:szCs w:val="16"/>
              </w:rPr>
            </w:pPr>
            <w:r w:rsidRPr="00A61D3E">
              <w:rPr>
                <w:rFonts w:ascii="Verdana" w:hAnsi="Verdana"/>
                <w:sz w:val="16"/>
                <w:szCs w:val="16"/>
              </w:rPr>
              <w:t>3.961</w:t>
            </w:r>
          </w:p>
        </w:tc>
      </w:tr>
      <w:tr w:rsidR="00812B7B" w:rsidRPr="00A61D3E" w14:paraId="06E9ABF9" w14:textId="77777777" w:rsidTr="00FF2DDC">
        <w:trPr>
          <w:trHeight w:val="283"/>
        </w:trPr>
        <w:tc>
          <w:tcPr>
            <w:tcW w:w="1417" w:type="dxa"/>
            <w:tcBorders>
              <w:bottom w:val="single" w:sz="12" w:space="0" w:color="000000"/>
            </w:tcBorders>
            <w:shd w:val="clear" w:color="auto" w:fill="auto"/>
            <w:noWrap/>
            <w:vAlign w:val="center"/>
          </w:tcPr>
          <w:p w14:paraId="450FF201" w14:textId="77777777" w:rsidR="00812B7B" w:rsidRPr="00A61D3E" w:rsidRDefault="00812B7B" w:rsidP="00FF2DDC">
            <w:pPr>
              <w:rPr>
                <w:rFonts w:ascii="Verdana" w:hAnsi="Verdana"/>
                <w:sz w:val="20"/>
                <w:szCs w:val="20"/>
                <w:lang w:eastAsia="en-GB"/>
              </w:rPr>
            </w:pPr>
            <w:r w:rsidRPr="00A61D3E">
              <w:rPr>
                <w:rFonts w:ascii="Verdana" w:hAnsi="Verdana"/>
                <w:sz w:val="20"/>
                <w:szCs w:val="20"/>
                <w:lang w:eastAsia="en-GB"/>
              </w:rPr>
              <w:lastRenderedPageBreak/>
              <w:t>1+2+3+4+5+6</w:t>
            </w:r>
          </w:p>
        </w:tc>
        <w:tc>
          <w:tcPr>
            <w:tcW w:w="1134" w:type="dxa"/>
            <w:tcBorders>
              <w:bottom w:val="single" w:sz="12" w:space="0" w:color="000000"/>
            </w:tcBorders>
            <w:shd w:val="clear" w:color="auto" w:fill="auto"/>
            <w:noWrap/>
            <w:vAlign w:val="center"/>
          </w:tcPr>
          <w:p w14:paraId="0FC3F8E4" w14:textId="77777777" w:rsidR="00812B7B" w:rsidRPr="00A61D3E" w:rsidRDefault="00812B7B" w:rsidP="00FF2DDC">
            <w:pPr>
              <w:rPr>
                <w:rFonts w:ascii="Verdana" w:hAnsi="Verdana"/>
                <w:sz w:val="16"/>
                <w:szCs w:val="16"/>
              </w:rPr>
            </w:pPr>
            <w:r w:rsidRPr="00A61D3E">
              <w:rPr>
                <w:rFonts w:ascii="Verdana" w:hAnsi="Verdana"/>
                <w:sz w:val="16"/>
                <w:szCs w:val="16"/>
              </w:rPr>
              <w:t>605.952</w:t>
            </w:r>
          </w:p>
        </w:tc>
        <w:tc>
          <w:tcPr>
            <w:tcW w:w="1276" w:type="dxa"/>
            <w:tcBorders>
              <w:bottom w:val="single" w:sz="12" w:space="0" w:color="000000"/>
            </w:tcBorders>
            <w:shd w:val="clear" w:color="auto" w:fill="auto"/>
            <w:noWrap/>
            <w:vAlign w:val="center"/>
          </w:tcPr>
          <w:p w14:paraId="6C300536" w14:textId="77777777" w:rsidR="00812B7B" w:rsidRPr="00A61D3E" w:rsidRDefault="00812B7B" w:rsidP="00FF2DDC">
            <w:pPr>
              <w:rPr>
                <w:rFonts w:ascii="Verdana" w:hAnsi="Verdana"/>
                <w:sz w:val="16"/>
                <w:szCs w:val="16"/>
              </w:rPr>
            </w:pPr>
            <w:r w:rsidRPr="00A61D3E">
              <w:rPr>
                <w:rFonts w:ascii="Verdana" w:hAnsi="Verdana"/>
                <w:sz w:val="16"/>
                <w:szCs w:val="16"/>
              </w:rPr>
              <w:t>466.447</w:t>
            </w:r>
          </w:p>
        </w:tc>
        <w:tc>
          <w:tcPr>
            <w:tcW w:w="1134" w:type="dxa"/>
            <w:tcBorders>
              <w:bottom w:val="single" w:sz="12" w:space="0" w:color="000000"/>
            </w:tcBorders>
            <w:shd w:val="clear" w:color="auto" w:fill="auto"/>
            <w:vAlign w:val="center"/>
          </w:tcPr>
          <w:p w14:paraId="0944E647" w14:textId="77777777" w:rsidR="00812B7B" w:rsidRPr="00A61D3E" w:rsidRDefault="00812B7B" w:rsidP="00FF2DDC">
            <w:pPr>
              <w:rPr>
                <w:rFonts w:ascii="Verdana" w:hAnsi="Verdana"/>
                <w:sz w:val="16"/>
                <w:szCs w:val="16"/>
              </w:rPr>
            </w:pPr>
            <w:r w:rsidRPr="00A61D3E">
              <w:rPr>
                <w:rFonts w:ascii="Verdana" w:hAnsi="Verdana"/>
                <w:sz w:val="16"/>
                <w:szCs w:val="16"/>
              </w:rPr>
              <w:t>471.578</w:t>
            </w:r>
          </w:p>
        </w:tc>
        <w:tc>
          <w:tcPr>
            <w:tcW w:w="1276" w:type="dxa"/>
            <w:tcBorders>
              <w:top w:val="single" w:sz="6" w:space="0" w:color="000000"/>
              <w:bottom w:val="single" w:sz="12" w:space="0" w:color="000000"/>
            </w:tcBorders>
            <w:vAlign w:val="center"/>
          </w:tcPr>
          <w:p w14:paraId="3342D66F" w14:textId="77777777" w:rsidR="00812B7B" w:rsidRPr="00A61D3E" w:rsidRDefault="00812B7B" w:rsidP="00FF2DDC">
            <w:pPr>
              <w:rPr>
                <w:rFonts w:ascii="Verdana" w:hAnsi="Verdana"/>
                <w:sz w:val="16"/>
                <w:szCs w:val="16"/>
              </w:rPr>
            </w:pPr>
            <w:r w:rsidRPr="00A61D3E">
              <w:rPr>
                <w:rFonts w:ascii="Verdana" w:hAnsi="Verdana"/>
                <w:sz w:val="16"/>
                <w:szCs w:val="16"/>
              </w:rPr>
              <w:t>557.770</w:t>
            </w:r>
          </w:p>
        </w:tc>
        <w:tc>
          <w:tcPr>
            <w:tcW w:w="1275" w:type="dxa"/>
            <w:tcBorders>
              <w:top w:val="single" w:sz="6" w:space="0" w:color="000000"/>
              <w:bottom w:val="single" w:sz="12" w:space="0" w:color="000000"/>
            </w:tcBorders>
            <w:vAlign w:val="center"/>
          </w:tcPr>
          <w:p w14:paraId="26293359" w14:textId="77777777" w:rsidR="00812B7B" w:rsidRPr="00A61D3E" w:rsidRDefault="00812B7B" w:rsidP="00FF2DDC">
            <w:pPr>
              <w:rPr>
                <w:rFonts w:ascii="Verdana" w:hAnsi="Verdana"/>
                <w:sz w:val="16"/>
                <w:szCs w:val="16"/>
              </w:rPr>
            </w:pPr>
            <w:r w:rsidRPr="00A61D3E">
              <w:rPr>
                <w:rFonts w:ascii="Verdana" w:hAnsi="Verdana"/>
                <w:sz w:val="16"/>
                <w:szCs w:val="16"/>
              </w:rPr>
              <w:t>1.209.959</w:t>
            </w:r>
          </w:p>
        </w:tc>
        <w:tc>
          <w:tcPr>
            <w:tcW w:w="1134" w:type="dxa"/>
            <w:tcBorders>
              <w:top w:val="single" w:sz="6" w:space="0" w:color="000000"/>
              <w:bottom w:val="single" w:sz="12" w:space="0" w:color="000000"/>
            </w:tcBorders>
            <w:vAlign w:val="center"/>
          </w:tcPr>
          <w:p w14:paraId="15A39AB4" w14:textId="77777777" w:rsidR="00812B7B" w:rsidRPr="00A61D3E" w:rsidRDefault="00812B7B" w:rsidP="00FF2DDC">
            <w:pPr>
              <w:rPr>
                <w:rFonts w:ascii="Verdana" w:hAnsi="Verdana"/>
                <w:sz w:val="16"/>
                <w:szCs w:val="16"/>
              </w:rPr>
            </w:pPr>
            <w:r w:rsidRPr="00A61D3E">
              <w:rPr>
                <w:rFonts w:ascii="Verdana" w:hAnsi="Verdana"/>
                <w:sz w:val="16"/>
                <w:szCs w:val="16"/>
              </w:rPr>
              <w:t>1.116.003</w:t>
            </w:r>
          </w:p>
        </w:tc>
        <w:tc>
          <w:tcPr>
            <w:tcW w:w="1134" w:type="dxa"/>
            <w:tcBorders>
              <w:top w:val="single" w:sz="6" w:space="0" w:color="000000"/>
              <w:bottom w:val="single" w:sz="12" w:space="0" w:color="000000"/>
            </w:tcBorders>
            <w:vAlign w:val="center"/>
          </w:tcPr>
          <w:p w14:paraId="407295CD" w14:textId="77777777" w:rsidR="00812B7B" w:rsidRPr="00A61D3E" w:rsidRDefault="00812B7B" w:rsidP="00FF2DDC">
            <w:pPr>
              <w:rPr>
                <w:rFonts w:ascii="Verdana" w:hAnsi="Verdana"/>
                <w:sz w:val="16"/>
                <w:szCs w:val="16"/>
              </w:rPr>
            </w:pPr>
            <w:r w:rsidRPr="00A61D3E">
              <w:rPr>
                <w:rFonts w:ascii="Verdana" w:hAnsi="Verdana"/>
                <w:sz w:val="16"/>
                <w:szCs w:val="16"/>
              </w:rPr>
              <w:t>1.103.587</w:t>
            </w:r>
          </w:p>
        </w:tc>
      </w:tr>
      <w:tr w:rsidR="00812B7B" w:rsidRPr="00A61D3E" w14:paraId="16FE1C27" w14:textId="77777777" w:rsidTr="00FF2DDC">
        <w:trPr>
          <w:trHeight w:val="220"/>
        </w:trPr>
        <w:tc>
          <w:tcPr>
            <w:tcW w:w="1417" w:type="dxa"/>
            <w:tcBorders>
              <w:top w:val="single" w:sz="12" w:space="0" w:color="000000"/>
              <w:bottom w:val="single" w:sz="12" w:space="0" w:color="000000"/>
              <w:right w:val="nil"/>
            </w:tcBorders>
            <w:shd w:val="clear" w:color="auto" w:fill="auto"/>
            <w:noWrap/>
            <w:vAlign w:val="center"/>
          </w:tcPr>
          <w:p w14:paraId="6E6FDD66" w14:textId="77777777" w:rsidR="00812B7B" w:rsidRPr="00A61D3E" w:rsidRDefault="00812B7B" w:rsidP="00FF2DDC">
            <w:pPr>
              <w:rPr>
                <w:rFonts w:ascii="Verdana" w:hAnsi="Verdana"/>
                <w:sz w:val="20"/>
                <w:szCs w:val="20"/>
                <w:lang w:eastAsia="en-GB"/>
              </w:rPr>
            </w:pPr>
            <w:r w:rsidRPr="00A61D3E">
              <w:rPr>
                <w:rFonts w:ascii="Verdana" w:hAnsi="Verdana"/>
                <w:sz w:val="20"/>
                <w:szCs w:val="20"/>
                <w:lang w:eastAsia="en-GB"/>
              </w:rPr>
              <w:t>ESS sredstva</w:t>
            </w:r>
          </w:p>
        </w:tc>
        <w:tc>
          <w:tcPr>
            <w:tcW w:w="1134" w:type="dxa"/>
            <w:tcBorders>
              <w:top w:val="single" w:sz="12" w:space="0" w:color="000000"/>
              <w:left w:val="nil"/>
              <w:bottom w:val="single" w:sz="12" w:space="0" w:color="000000"/>
              <w:right w:val="nil"/>
            </w:tcBorders>
            <w:shd w:val="clear" w:color="auto" w:fill="auto"/>
            <w:noWrap/>
            <w:vAlign w:val="center"/>
          </w:tcPr>
          <w:p w14:paraId="548D884A" w14:textId="77777777" w:rsidR="00812B7B" w:rsidRPr="00A61D3E" w:rsidRDefault="00812B7B" w:rsidP="00FF2DDC">
            <w:pPr>
              <w:rPr>
                <w:rFonts w:ascii="Verdana" w:hAnsi="Verdana"/>
                <w:sz w:val="16"/>
                <w:szCs w:val="16"/>
              </w:rPr>
            </w:pPr>
          </w:p>
        </w:tc>
        <w:tc>
          <w:tcPr>
            <w:tcW w:w="2410" w:type="dxa"/>
            <w:gridSpan w:val="2"/>
            <w:tcBorders>
              <w:top w:val="single" w:sz="12" w:space="0" w:color="000000"/>
              <w:left w:val="nil"/>
              <w:bottom w:val="single" w:sz="12" w:space="0" w:color="000000"/>
              <w:right w:val="nil"/>
            </w:tcBorders>
            <w:shd w:val="clear" w:color="auto" w:fill="auto"/>
            <w:noWrap/>
            <w:vAlign w:val="center"/>
          </w:tcPr>
          <w:p w14:paraId="54B270D9" w14:textId="77777777" w:rsidR="00812B7B" w:rsidRPr="00A61D3E" w:rsidRDefault="00812B7B" w:rsidP="00FF2DDC">
            <w:pPr>
              <w:rPr>
                <w:rFonts w:ascii="Verdana" w:hAnsi="Verdana"/>
                <w:sz w:val="16"/>
                <w:szCs w:val="16"/>
              </w:rPr>
            </w:pPr>
          </w:p>
        </w:tc>
        <w:tc>
          <w:tcPr>
            <w:tcW w:w="1276" w:type="dxa"/>
            <w:tcBorders>
              <w:top w:val="single" w:sz="12" w:space="0" w:color="000000"/>
              <w:left w:val="nil"/>
              <w:bottom w:val="nil"/>
              <w:right w:val="nil"/>
            </w:tcBorders>
            <w:vAlign w:val="center"/>
          </w:tcPr>
          <w:p w14:paraId="5CA0193C" w14:textId="77777777" w:rsidR="00812B7B" w:rsidRPr="00A61D3E" w:rsidRDefault="00812B7B" w:rsidP="00FF2DDC">
            <w:pPr>
              <w:rPr>
                <w:rFonts w:ascii="Verdana" w:hAnsi="Verdana"/>
                <w:sz w:val="16"/>
                <w:szCs w:val="16"/>
              </w:rPr>
            </w:pPr>
          </w:p>
        </w:tc>
        <w:tc>
          <w:tcPr>
            <w:tcW w:w="1275" w:type="dxa"/>
            <w:tcBorders>
              <w:top w:val="single" w:sz="12" w:space="0" w:color="000000"/>
              <w:left w:val="nil"/>
              <w:bottom w:val="nil"/>
              <w:right w:val="nil"/>
            </w:tcBorders>
            <w:vAlign w:val="center"/>
          </w:tcPr>
          <w:p w14:paraId="04F4FBED" w14:textId="77777777" w:rsidR="00812B7B" w:rsidRPr="00A61D3E" w:rsidRDefault="00812B7B" w:rsidP="00FF2DDC">
            <w:pPr>
              <w:rPr>
                <w:rFonts w:ascii="Verdana" w:hAnsi="Verdana"/>
                <w:sz w:val="16"/>
                <w:szCs w:val="16"/>
              </w:rPr>
            </w:pPr>
          </w:p>
        </w:tc>
        <w:tc>
          <w:tcPr>
            <w:tcW w:w="1134" w:type="dxa"/>
            <w:tcBorders>
              <w:top w:val="single" w:sz="12" w:space="0" w:color="000000"/>
              <w:left w:val="nil"/>
              <w:bottom w:val="nil"/>
              <w:right w:val="nil"/>
            </w:tcBorders>
            <w:vAlign w:val="center"/>
          </w:tcPr>
          <w:p w14:paraId="45716081" w14:textId="77777777" w:rsidR="00812B7B" w:rsidRPr="00A61D3E" w:rsidRDefault="00812B7B" w:rsidP="00FF2DDC">
            <w:pPr>
              <w:rPr>
                <w:rFonts w:ascii="Verdana" w:hAnsi="Verdana"/>
                <w:sz w:val="16"/>
                <w:szCs w:val="16"/>
              </w:rPr>
            </w:pPr>
          </w:p>
        </w:tc>
        <w:tc>
          <w:tcPr>
            <w:tcW w:w="1134" w:type="dxa"/>
            <w:tcBorders>
              <w:top w:val="single" w:sz="12" w:space="0" w:color="000000"/>
              <w:left w:val="nil"/>
              <w:bottom w:val="nil"/>
              <w:right w:val="nil"/>
            </w:tcBorders>
            <w:vAlign w:val="center"/>
          </w:tcPr>
          <w:p w14:paraId="2990118D" w14:textId="77777777" w:rsidR="00812B7B" w:rsidRPr="00A61D3E" w:rsidRDefault="00812B7B" w:rsidP="00FF2DDC">
            <w:pPr>
              <w:rPr>
                <w:rFonts w:ascii="Verdana" w:hAnsi="Verdana"/>
                <w:sz w:val="16"/>
                <w:szCs w:val="16"/>
              </w:rPr>
            </w:pPr>
          </w:p>
        </w:tc>
      </w:tr>
      <w:tr w:rsidR="00812B7B" w:rsidRPr="00A61D3E" w14:paraId="6B84A16C" w14:textId="77777777" w:rsidTr="00FF2DDC">
        <w:trPr>
          <w:trHeight w:val="220"/>
        </w:trPr>
        <w:tc>
          <w:tcPr>
            <w:tcW w:w="1417" w:type="dxa"/>
            <w:tcBorders>
              <w:top w:val="single" w:sz="12" w:space="0" w:color="000000"/>
            </w:tcBorders>
            <w:shd w:val="clear" w:color="auto" w:fill="auto"/>
            <w:noWrap/>
            <w:vAlign w:val="center"/>
          </w:tcPr>
          <w:p w14:paraId="3D2A0CD2" w14:textId="77777777" w:rsidR="00812B7B" w:rsidRPr="00A61D3E" w:rsidRDefault="00812B7B" w:rsidP="00FF2DDC">
            <w:pPr>
              <w:rPr>
                <w:rFonts w:ascii="Verdana" w:hAnsi="Verdana"/>
                <w:sz w:val="20"/>
                <w:szCs w:val="20"/>
                <w:lang w:eastAsia="en-GB"/>
              </w:rPr>
            </w:pPr>
            <w:r w:rsidRPr="00A61D3E">
              <w:rPr>
                <w:rFonts w:ascii="Verdana" w:hAnsi="Verdana"/>
                <w:sz w:val="20"/>
                <w:szCs w:val="20"/>
                <w:lang w:eastAsia="en-GB"/>
              </w:rPr>
              <w:t>Plače</w:t>
            </w:r>
          </w:p>
        </w:tc>
        <w:tc>
          <w:tcPr>
            <w:tcW w:w="1134" w:type="dxa"/>
            <w:tcBorders>
              <w:top w:val="single" w:sz="12" w:space="0" w:color="000000"/>
            </w:tcBorders>
            <w:shd w:val="clear" w:color="auto" w:fill="auto"/>
            <w:noWrap/>
            <w:vAlign w:val="center"/>
          </w:tcPr>
          <w:p w14:paraId="113AB3AD" w14:textId="77777777" w:rsidR="00812B7B" w:rsidRPr="00A61D3E" w:rsidRDefault="00812B7B" w:rsidP="00FF2DDC">
            <w:pPr>
              <w:rPr>
                <w:rFonts w:ascii="Verdana" w:hAnsi="Verdana"/>
                <w:sz w:val="16"/>
                <w:szCs w:val="16"/>
              </w:rPr>
            </w:pPr>
            <w:r w:rsidRPr="00A61D3E">
              <w:rPr>
                <w:rFonts w:ascii="Verdana" w:hAnsi="Verdana"/>
                <w:sz w:val="16"/>
                <w:szCs w:val="16"/>
              </w:rPr>
              <w:t>253.379</w:t>
            </w:r>
          </w:p>
        </w:tc>
        <w:tc>
          <w:tcPr>
            <w:tcW w:w="1276" w:type="dxa"/>
            <w:tcBorders>
              <w:top w:val="single" w:sz="12" w:space="0" w:color="000000"/>
            </w:tcBorders>
            <w:shd w:val="clear" w:color="auto" w:fill="auto"/>
            <w:noWrap/>
            <w:vAlign w:val="center"/>
          </w:tcPr>
          <w:p w14:paraId="140BB018" w14:textId="77777777" w:rsidR="00812B7B" w:rsidRPr="00A61D3E" w:rsidRDefault="00812B7B" w:rsidP="00FF2DDC">
            <w:pPr>
              <w:rPr>
                <w:rFonts w:ascii="Verdana" w:hAnsi="Verdana"/>
                <w:sz w:val="16"/>
                <w:szCs w:val="16"/>
              </w:rPr>
            </w:pPr>
            <w:r w:rsidRPr="00A61D3E">
              <w:rPr>
                <w:rFonts w:ascii="Verdana" w:hAnsi="Verdana"/>
                <w:sz w:val="16"/>
                <w:szCs w:val="16"/>
              </w:rPr>
              <w:t>287.700</w:t>
            </w:r>
          </w:p>
        </w:tc>
        <w:tc>
          <w:tcPr>
            <w:tcW w:w="1134" w:type="dxa"/>
            <w:tcBorders>
              <w:top w:val="single" w:sz="12" w:space="0" w:color="000000"/>
            </w:tcBorders>
            <w:shd w:val="clear" w:color="auto" w:fill="auto"/>
            <w:vAlign w:val="center"/>
          </w:tcPr>
          <w:p w14:paraId="1F6F3DB2" w14:textId="77777777" w:rsidR="00812B7B" w:rsidRPr="00A61D3E" w:rsidRDefault="00812B7B" w:rsidP="00FF2DDC">
            <w:pPr>
              <w:rPr>
                <w:rFonts w:ascii="Verdana" w:hAnsi="Verdana"/>
                <w:sz w:val="16"/>
                <w:szCs w:val="16"/>
              </w:rPr>
            </w:pPr>
            <w:r w:rsidRPr="00A61D3E">
              <w:rPr>
                <w:rFonts w:ascii="Verdana" w:hAnsi="Verdana"/>
                <w:sz w:val="16"/>
                <w:szCs w:val="16"/>
              </w:rPr>
              <w:t>307.211</w:t>
            </w:r>
          </w:p>
        </w:tc>
        <w:tc>
          <w:tcPr>
            <w:tcW w:w="1276" w:type="dxa"/>
            <w:tcBorders>
              <w:top w:val="single" w:sz="12" w:space="0" w:color="000000"/>
            </w:tcBorders>
            <w:vAlign w:val="center"/>
          </w:tcPr>
          <w:p w14:paraId="099E9941" w14:textId="77777777" w:rsidR="00812B7B" w:rsidRPr="00A61D3E" w:rsidRDefault="00812B7B" w:rsidP="00FF2DDC">
            <w:pPr>
              <w:rPr>
                <w:rFonts w:ascii="Verdana" w:hAnsi="Verdana"/>
                <w:sz w:val="16"/>
                <w:szCs w:val="16"/>
              </w:rPr>
            </w:pPr>
            <w:r w:rsidRPr="00A61D3E">
              <w:rPr>
                <w:rFonts w:ascii="Verdana" w:hAnsi="Verdana"/>
                <w:sz w:val="16"/>
                <w:szCs w:val="16"/>
              </w:rPr>
              <w:t>259.408</w:t>
            </w:r>
          </w:p>
        </w:tc>
        <w:tc>
          <w:tcPr>
            <w:tcW w:w="1275" w:type="dxa"/>
            <w:tcBorders>
              <w:top w:val="single" w:sz="12" w:space="0" w:color="000000"/>
            </w:tcBorders>
            <w:vAlign w:val="center"/>
          </w:tcPr>
          <w:p w14:paraId="2469FFF2" w14:textId="77777777" w:rsidR="00812B7B" w:rsidRPr="00A61D3E" w:rsidRDefault="00812B7B" w:rsidP="00FF2DDC">
            <w:pPr>
              <w:rPr>
                <w:rFonts w:ascii="Verdana" w:hAnsi="Verdana"/>
                <w:sz w:val="16"/>
                <w:szCs w:val="16"/>
              </w:rPr>
            </w:pPr>
            <w:r w:rsidRPr="00A61D3E">
              <w:rPr>
                <w:rFonts w:ascii="Verdana" w:hAnsi="Verdana"/>
                <w:sz w:val="16"/>
                <w:szCs w:val="16"/>
              </w:rPr>
              <w:t>-</w:t>
            </w:r>
          </w:p>
        </w:tc>
        <w:tc>
          <w:tcPr>
            <w:tcW w:w="1134" w:type="dxa"/>
            <w:tcBorders>
              <w:top w:val="single" w:sz="12" w:space="0" w:color="000000"/>
            </w:tcBorders>
            <w:vAlign w:val="center"/>
          </w:tcPr>
          <w:p w14:paraId="118CBCA3" w14:textId="77777777" w:rsidR="00812B7B" w:rsidRPr="00A61D3E" w:rsidRDefault="00812B7B" w:rsidP="00FF2DDC">
            <w:pPr>
              <w:rPr>
                <w:rFonts w:ascii="Verdana" w:hAnsi="Verdana"/>
                <w:sz w:val="16"/>
                <w:szCs w:val="16"/>
              </w:rPr>
            </w:pPr>
            <w:r w:rsidRPr="00A61D3E">
              <w:rPr>
                <w:rFonts w:ascii="Verdana" w:hAnsi="Verdana"/>
                <w:sz w:val="16"/>
                <w:szCs w:val="16"/>
              </w:rPr>
              <w:t>-</w:t>
            </w:r>
          </w:p>
        </w:tc>
        <w:tc>
          <w:tcPr>
            <w:tcW w:w="1134" w:type="dxa"/>
            <w:tcBorders>
              <w:top w:val="single" w:sz="12" w:space="0" w:color="000000"/>
            </w:tcBorders>
            <w:vAlign w:val="center"/>
          </w:tcPr>
          <w:p w14:paraId="5F2D64E5" w14:textId="77777777" w:rsidR="00812B7B" w:rsidRPr="00A61D3E" w:rsidRDefault="00812B7B" w:rsidP="00FF2DDC">
            <w:pPr>
              <w:rPr>
                <w:rFonts w:ascii="Verdana" w:hAnsi="Verdana"/>
                <w:sz w:val="16"/>
                <w:szCs w:val="16"/>
              </w:rPr>
            </w:pPr>
            <w:r w:rsidRPr="00A61D3E">
              <w:rPr>
                <w:rFonts w:ascii="Verdana" w:hAnsi="Verdana"/>
                <w:sz w:val="16"/>
                <w:szCs w:val="16"/>
              </w:rPr>
              <w:t>-</w:t>
            </w:r>
          </w:p>
        </w:tc>
      </w:tr>
      <w:tr w:rsidR="00812B7B" w:rsidRPr="00A61D3E" w14:paraId="0923BBA5" w14:textId="77777777" w:rsidTr="00FF2DDC">
        <w:trPr>
          <w:trHeight w:val="220"/>
        </w:trPr>
        <w:tc>
          <w:tcPr>
            <w:tcW w:w="1417" w:type="dxa"/>
            <w:shd w:val="clear" w:color="auto" w:fill="auto"/>
            <w:noWrap/>
            <w:vAlign w:val="center"/>
          </w:tcPr>
          <w:p w14:paraId="39DD0E0C" w14:textId="77777777" w:rsidR="00812B7B" w:rsidRPr="00A61D3E" w:rsidRDefault="00812B7B" w:rsidP="00FF2DDC">
            <w:pPr>
              <w:rPr>
                <w:rFonts w:ascii="Verdana" w:hAnsi="Verdana"/>
                <w:sz w:val="20"/>
                <w:szCs w:val="20"/>
                <w:lang w:val="da-DK" w:eastAsia="en-GB"/>
              </w:rPr>
            </w:pPr>
            <w:r w:rsidRPr="00A61D3E">
              <w:rPr>
                <w:rFonts w:ascii="Verdana" w:hAnsi="Verdana"/>
                <w:sz w:val="20"/>
                <w:szCs w:val="20"/>
                <w:lang w:val="da-DK" w:eastAsia="en-GB"/>
              </w:rPr>
              <w:t>Stroški akreditacij</w:t>
            </w:r>
          </w:p>
        </w:tc>
        <w:tc>
          <w:tcPr>
            <w:tcW w:w="1134" w:type="dxa"/>
            <w:shd w:val="clear" w:color="auto" w:fill="auto"/>
            <w:noWrap/>
            <w:vAlign w:val="center"/>
          </w:tcPr>
          <w:p w14:paraId="7070A3B2" w14:textId="77777777" w:rsidR="00812B7B" w:rsidRPr="00A61D3E" w:rsidRDefault="00812B7B" w:rsidP="00FF2DDC">
            <w:pPr>
              <w:rPr>
                <w:rFonts w:ascii="Verdana" w:hAnsi="Verdana"/>
                <w:sz w:val="16"/>
                <w:szCs w:val="16"/>
              </w:rPr>
            </w:pPr>
            <w:r w:rsidRPr="00A61D3E">
              <w:rPr>
                <w:rFonts w:ascii="Verdana" w:hAnsi="Verdana"/>
                <w:sz w:val="16"/>
                <w:szCs w:val="16"/>
              </w:rPr>
              <w:t>432.369</w:t>
            </w:r>
          </w:p>
        </w:tc>
        <w:tc>
          <w:tcPr>
            <w:tcW w:w="1276" w:type="dxa"/>
            <w:shd w:val="clear" w:color="auto" w:fill="auto"/>
            <w:noWrap/>
            <w:vAlign w:val="center"/>
          </w:tcPr>
          <w:p w14:paraId="2C44CC7E" w14:textId="77777777" w:rsidR="00812B7B" w:rsidRPr="00A61D3E" w:rsidRDefault="00812B7B" w:rsidP="00FF2DDC">
            <w:pPr>
              <w:rPr>
                <w:rFonts w:ascii="Verdana" w:hAnsi="Verdana"/>
                <w:sz w:val="16"/>
                <w:szCs w:val="16"/>
              </w:rPr>
            </w:pPr>
            <w:r w:rsidRPr="00A61D3E">
              <w:rPr>
                <w:rFonts w:ascii="Verdana" w:hAnsi="Verdana"/>
                <w:sz w:val="16"/>
                <w:szCs w:val="16"/>
              </w:rPr>
              <w:t>539.618</w:t>
            </w:r>
          </w:p>
        </w:tc>
        <w:tc>
          <w:tcPr>
            <w:tcW w:w="1134" w:type="dxa"/>
            <w:shd w:val="clear" w:color="auto" w:fill="auto"/>
            <w:vAlign w:val="center"/>
          </w:tcPr>
          <w:p w14:paraId="6665B5BE" w14:textId="77777777" w:rsidR="00812B7B" w:rsidRPr="00A61D3E" w:rsidRDefault="00812B7B" w:rsidP="00FF2DDC">
            <w:pPr>
              <w:rPr>
                <w:rFonts w:ascii="Verdana" w:hAnsi="Verdana"/>
                <w:sz w:val="16"/>
                <w:szCs w:val="16"/>
              </w:rPr>
            </w:pPr>
            <w:r w:rsidRPr="00A61D3E">
              <w:rPr>
                <w:rFonts w:ascii="Verdana" w:hAnsi="Verdana"/>
                <w:sz w:val="16"/>
                <w:szCs w:val="16"/>
              </w:rPr>
              <w:t>425.246</w:t>
            </w:r>
          </w:p>
        </w:tc>
        <w:tc>
          <w:tcPr>
            <w:tcW w:w="1276" w:type="dxa"/>
            <w:vAlign w:val="center"/>
          </w:tcPr>
          <w:p w14:paraId="66FA2E29" w14:textId="77777777" w:rsidR="00812B7B" w:rsidRPr="00A61D3E" w:rsidRDefault="00812B7B" w:rsidP="00FF2DDC">
            <w:pPr>
              <w:rPr>
                <w:rFonts w:ascii="Verdana" w:hAnsi="Verdana"/>
                <w:sz w:val="16"/>
                <w:szCs w:val="16"/>
              </w:rPr>
            </w:pPr>
            <w:r w:rsidRPr="00A61D3E">
              <w:rPr>
                <w:rFonts w:ascii="Verdana" w:hAnsi="Verdana"/>
                <w:sz w:val="16"/>
                <w:szCs w:val="16"/>
              </w:rPr>
              <w:t>401.631</w:t>
            </w:r>
          </w:p>
        </w:tc>
        <w:tc>
          <w:tcPr>
            <w:tcW w:w="1275" w:type="dxa"/>
            <w:vAlign w:val="center"/>
          </w:tcPr>
          <w:p w14:paraId="26C9C991" w14:textId="77777777" w:rsidR="00812B7B" w:rsidRPr="00A61D3E" w:rsidRDefault="00812B7B" w:rsidP="00FF2DDC">
            <w:pPr>
              <w:rPr>
                <w:rFonts w:ascii="Verdana" w:hAnsi="Verdana"/>
                <w:sz w:val="16"/>
                <w:szCs w:val="16"/>
              </w:rPr>
            </w:pPr>
            <w:r w:rsidRPr="00A61D3E">
              <w:rPr>
                <w:rFonts w:ascii="Verdana" w:hAnsi="Verdana"/>
                <w:sz w:val="16"/>
                <w:szCs w:val="16"/>
              </w:rPr>
              <w:t>-</w:t>
            </w:r>
          </w:p>
        </w:tc>
        <w:tc>
          <w:tcPr>
            <w:tcW w:w="1134" w:type="dxa"/>
            <w:vAlign w:val="center"/>
          </w:tcPr>
          <w:p w14:paraId="26467E05" w14:textId="77777777" w:rsidR="00812B7B" w:rsidRPr="00A61D3E" w:rsidRDefault="00812B7B" w:rsidP="00FF2DDC">
            <w:pPr>
              <w:rPr>
                <w:rFonts w:ascii="Verdana" w:hAnsi="Verdana"/>
                <w:sz w:val="16"/>
                <w:szCs w:val="16"/>
              </w:rPr>
            </w:pPr>
            <w:r w:rsidRPr="00A61D3E">
              <w:rPr>
                <w:rFonts w:ascii="Verdana" w:hAnsi="Verdana"/>
                <w:sz w:val="16"/>
                <w:szCs w:val="16"/>
              </w:rPr>
              <w:t>-</w:t>
            </w:r>
          </w:p>
        </w:tc>
        <w:tc>
          <w:tcPr>
            <w:tcW w:w="1134" w:type="dxa"/>
            <w:vAlign w:val="center"/>
          </w:tcPr>
          <w:p w14:paraId="795D3E16" w14:textId="77777777" w:rsidR="00812B7B" w:rsidRPr="00A61D3E" w:rsidRDefault="00812B7B" w:rsidP="00FF2DDC">
            <w:pPr>
              <w:rPr>
                <w:rFonts w:ascii="Verdana" w:hAnsi="Verdana"/>
                <w:sz w:val="16"/>
                <w:szCs w:val="16"/>
              </w:rPr>
            </w:pPr>
            <w:r w:rsidRPr="00A61D3E">
              <w:rPr>
                <w:rFonts w:ascii="Verdana" w:hAnsi="Verdana"/>
                <w:sz w:val="16"/>
                <w:szCs w:val="16"/>
              </w:rPr>
              <w:t>-</w:t>
            </w:r>
          </w:p>
        </w:tc>
      </w:tr>
      <w:tr w:rsidR="00812B7B" w:rsidRPr="00A61D3E" w14:paraId="7F70C5D9" w14:textId="77777777" w:rsidTr="00FF2DDC">
        <w:trPr>
          <w:trHeight w:val="220"/>
        </w:trPr>
        <w:tc>
          <w:tcPr>
            <w:tcW w:w="1417" w:type="dxa"/>
            <w:shd w:val="clear" w:color="auto" w:fill="auto"/>
            <w:noWrap/>
            <w:vAlign w:val="center"/>
          </w:tcPr>
          <w:p w14:paraId="19A6FF0B" w14:textId="77777777" w:rsidR="00812B7B" w:rsidRPr="00A61D3E" w:rsidRDefault="00812B7B" w:rsidP="00FF2DDC">
            <w:pPr>
              <w:rPr>
                <w:rFonts w:ascii="Verdana" w:hAnsi="Verdana"/>
                <w:sz w:val="20"/>
                <w:szCs w:val="20"/>
                <w:lang w:val="da-DK" w:eastAsia="en-GB"/>
              </w:rPr>
            </w:pPr>
            <w:r w:rsidRPr="00A61D3E">
              <w:rPr>
                <w:rFonts w:ascii="Verdana" w:hAnsi="Verdana"/>
                <w:sz w:val="20"/>
                <w:szCs w:val="20"/>
                <w:lang w:val="da-DK" w:eastAsia="en-GB"/>
              </w:rPr>
              <w:t>Investicije</w:t>
            </w:r>
          </w:p>
        </w:tc>
        <w:tc>
          <w:tcPr>
            <w:tcW w:w="1134" w:type="dxa"/>
            <w:shd w:val="clear" w:color="auto" w:fill="auto"/>
            <w:noWrap/>
            <w:vAlign w:val="center"/>
          </w:tcPr>
          <w:p w14:paraId="3693198B" w14:textId="77777777" w:rsidR="00812B7B" w:rsidRPr="00A61D3E" w:rsidRDefault="00812B7B" w:rsidP="00FF2DDC">
            <w:pPr>
              <w:rPr>
                <w:rFonts w:ascii="Verdana" w:hAnsi="Verdana"/>
                <w:sz w:val="16"/>
                <w:szCs w:val="16"/>
              </w:rPr>
            </w:pPr>
            <w:r w:rsidRPr="00A61D3E">
              <w:rPr>
                <w:rFonts w:ascii="Verdana" w:hAnsi="Verdana"/>
                <w:sz w:val="16"/>
                <w:szCs w:val="16"/>
              </w:rPr>
              <w:t>3.747</w:t>
            </w:r>
          </w:p>
        </w:tc>
        <w:tc>
          <w:tcPr>
            <w:tcW w:w="1276" w:type="dxa"/>
            <w:shd w:val="clear" w:color="auto" w:fill="auto"/>
            <w:noWrap/>
            <w:vAlign w:val="center"/>
          </w:tcPr>
          <w:p w14:paraId="4447CD73" w14:textId="77777777" w:rsidR="00812B7B" w:rsidRPr="00A61D3E" w:rsidRDefault="00812B7B" w:rsidP="00FF2DDC">
            <w:pPr>
              <w:rPr>
                <w:rFonts w:ascii="Verdana" w:hAnsi="Verdana"/>
                <w:sz w:val="16"/>
                <w:szCs w:val="16"/>
              </w:rPr>
            </w:pPr>
            <w:r w:rsidRPr="00A61D3E">
              <w:rPr>
                <w:rFonts w:ascii="Verdana" w:hAnsi="Verdana"/>
                <w:sz w:val="16"/>
                <w:szCs w:val="16"/>
              </w:rPr>
              <w:t>7.349</w:t>
            </w:r>
          </w:p>
        </w:tc>
        <w:tc>
          <w:tcPr>
            <w:tcW w:w="1134" w:type="dxa"/>
            <w:shd w:val="clear" w:color="auto" w:fill="auto"/>
            <w:vAlign w:val="center"/>
          </w:tcPr>
          <w:p w14:paraId="11A19A75" w14:textId="77777777" w:rsidR="00812B7B" w:rsidRPr="00A61D3E" w:rsidRDefault="00812B7B" w:rsidP="00FF2DDC">
            <w:pPr>
              <w:rPr>
                <w:rFonts w:ascii="Verdana" w:hAnsi="Verdana"/>
                <w:sz w:val="16"/>
                <w:szCs w:val="16"/>
              </w:rPr>
            </w:pPr>
            <w:r w:rsidRPr="00A61D3E">
              <w:rPr>
                <w:rFonts w:ascii="Verdana" w:hAnsi="Verdana"/>
                <w:sz w:val="16"/>
                <w:szCs w:val="16"/>
              </w:rPr>
              <w:t>4.987</w:t>
            </w:r>
          </w:p>
        </w:tc>
        <w:tc>
          <w:tcPr>
            <w:tcW w:w="1276" w:type="dxa"/>
            <w:vAlign w:val="center"/>
          </w:tcPr>
          <w:p w14:paraId="7FAF40A2" w14:textId="77777777" w:rsidR="00812B7B" w:rsidRPr="00A61D3E" w:rsidRDefault="00812B7B" w:rsidP="00FF2DDC">
            <w:pPr>
              <w:rPr>
                <w:rFonts w:ascii="Verdana" w:hAnsi="Verdana"/>
                <w:sz w:val="16"/>
                <w:szCs w:val="16"/>
              </w:rPr>
            </w:pPr>
            <w:r w:rsidRPr="00A61D3E">
              <w:rPr>
                <w:rFonts w:ascii="Verdana" w:hAnsi="Verdana"/>
                <w:sz w:val="16"/>
                <w:szCs w:val="16"/>
              </w:rPr>
              <w:t>87.228</w:t>
            </w:r>
          </w:p>
        </w:tc>
        <w:tc>
          <w:tcPr>
            <w:tcW w:w="1275" w:type="dxa"/>
            <w:vAlign w:val="center"/>
          </w:tcPr>
          <w:p w14:paraId="014F87A8" w14:textId="77777777" w:rsidR="00812B7B" w:rsidRPr="00A61D3E" w:rsidRDefault="00812B7B" w:rsidP="00FF2DDC">
            <w:pPr>
              <w:rPr>
                <w:rFonts w:ascii="Verdana" w:hAnsi="Verdana"/>
                <w:sz w:val="16"/>
                <w:szCs w:val="16"/>
              </w:rPr>
            </w:pPr>
            <w:r w:rsidRPr="00A61D3E">
              <w:rPr>
                <w:rFonts w:ascii="Verdana" w:hAnsi="Verdana"/>
                <w:sz w:val="16"/>
                <w:szCs w:val="16"/>
              </w:rPr>
              <w:t>-</w:t>
            </w:r>
          </w:p>
        </w:tc>
        <w:tc>
          <w:tcPr>
            <w:tcW w:w="1134" w:type="dxa"/>
            <w:vAlign w:val="center"/>
          </w:tcPr>
          <w:p w14:paraId="6313F4CC" w14:textId="77777777" w:rsidR="00812B7B" w:rsidRPr="00A61D3E" w:rsidRDefault="00812B7B" w:rsidP="00FF2DDC">
            <w:pPr>
              <w:rPr>
                <w:rFonts w:ascii="Verdana" w:hAnsi="Verdana"/>
                <w:sz w:val="16"/>
                <w:szCs w:val="16"/>
              </w:rPr>
            </w:pPr>
            <w:r w:rsidRPr="00A61D3E">
              <w:rPr>
                <w:rFonts w:ascii="Verdana" w:hAnsi="Verdana"/>
                <w:sz w:val="16"/>
                <w:szCs w:val="16"/>
              </w:rPr>
              <w:t>-</w:t>
            </w:r>
          </w:p>
        </w:tc>
        <w:tc>
          <w:tcPr>
            <w:tcW w:w="1134" w:type="dxa"/>
            <w:vAlign w:val="center"/>
          </w:tcPr>
          <w:p w14:paraId="0FA31BDE" w14:textId="77777777" w:rsidR="00812B7B" w:rsidRPr="00A61D3E" w:rsidRDefault="00812B7B" w:rsidP="00FF2DDC">
            <w:pPr>
              <w:rPr>
                <w:rFonts w:ascii="Verdana" w:hAnsi="Verdana"/>
                <w:sz w:val="16"/>
                <w:szCs w:val="16"/>
              </w:rPr>
            </w:pPr>
            <w:r w:rsidRPr="00A61D3E">
              <w:rPr>
                <w:rFonts w:ascii="Verdana" w:hAnsi="Verdana"/>
                <w:sz w:val="16"/>
                <w:szCs w:val="16"/>
              </w:rPr>
              <w:t>-</w:t>
            </w:r>
          </w:p>
        </w:tc>
      </w:tr>
      <w:tr w:rsidR="00812B7B" w:rsidRPr="00A61D3E" w14:paraId="47DC53A8" w14:textId="77777777" w:rsidTr="00FF2DDC">
        <w:trPr>
          <w:trHeight w:val="220"/>
        </w:trPr>
        <w:tc>
          <w:tcPr>
            <w:tcW w:w="1417" w:type="dxa"/>
            <w:tcBorders>
              <w:bottom w:val="single" w:sz="12" w:space="0" w:color="000000"/>
            </w:tcBorders>
            <w:shd w:val="clear" w:color="auto" w:fill="auto"/>
            <w:noWrap/>
            <w:vAlign w:val="center"/>
          </w:tcPr>
          <w:p w14:paraId="06967CF0" w14:textId="77777777" w:rsidR="00812B7B" w:rsidRPr="00A61D3E" w:rsidRDefault="00812B7B" w:rsidP="00FF2DDC">
            <w:pPr>
              <w:rPr>
                <w:rFonts w:ascii="Verdana" w:hAnsi="Verdana"/>
                <w:sz w:val="20"/>
                <w:szCs w:val="20"/>
                <w:lang w:val="da-DK" w:eastAsia="en-GB"/>
              </w:rPr>
            </w:pPr>
            <w:r w:rsidRPr="00A61D3E">
              <w:rPr>
                <w:rFonts w:ascii="Verdana" w:hAnsi="Verdana"/>
                <w:sz w:val="20"/>
                <w:szCs w:val="20"/>
                <w:lang w:val="da-DK" w:eastAsia="en-GB"/>
              </w:rPr>
              <w:t>6+7+8</w:t>
            </w:r>
          </w:p>
        </w:tc>
        <w:tc>
          <w:tcPr>
            <w:tcW w:w="1134" w:type="dxa"/>
            <w:tcBorders>
              <w:bottom w:val="single" w:sz="12" w:space="0" w:color="000000"/>
            </w:tcBorders>
            <w:shd w:val="clear" w:color="auto" w:fill="auto"/>
            <w:noWrap/>
            <w:vAlign w:val="center"/>
          </w:tcPr>
          <w:p w14:paraId="5643ABA6" w14:textId="77777777" w:rsidR="00812B7B" w:rsidRPr="00A61D3E" w:rsidRDefault="00812B7B" w:rsidP="00FF2DDC">
            <w:pPr>
              <w:rPr>
                <w:rFonts w:ascii="Verdana" w:hAnsi="Verdana"/>
                <w:sz w:val="16"/>
                <w:szCs w:val="16"/>
              </w:rPr>
            </w:pPr>
            <w:r w:rsidRPr="00A61D3E">
              <w:rPr>
                <w:rFonts w:ascii="Verdana" w:hAnsi="Verdana"/>
                <w:sz w:val="16"/>
                <w:szCs w:val="16"/>
              </w:rPr>
              <w:t>689.495</w:t>
            </w:r>
          </w:p>
        </w:tc>
        <w:tc>
          <w:tcPr>
            <w:tcW w:w="1276" w:type="dxa"/>
            <w:tcBorders>
              <w:bottom w:val="single" w:sz="12" w:space="0" w:color="000000"/>
            </w:tcBorders>
            <w:shd w:val="clear" w:color="auto" w:fill="auto"/>
            <w:noWrap/>
            <w:vAlign w:val="center"/>
          </w:tcPr>
          <w:p w14:paraId="7D1CDC70" w14:textId="77777777" w:rsidR="00812B7B" w:rsidRPr="00A61D3E" w:rsidRDefault="00812B7B" w:rsidP="00FF2DDC">
            <w:pPr>
              <w:rPr>
                <w:rFonts w:ascii="Verdana" w:hAnsi="Verdana"/>
                <w:sz w:val="16"/>
                <w:szCs w:val="16"/>
              </w:rPr>
            </w:pPr>
            <w:r w:rsidRPr="00A61D3E">
              <w:rPr>
                <w:rFonts w:ascii="Verdana" w:hAnsi="Verdana"/>
                <w:sz w:val="16"/>
                <w:szCs w:val="16"/>
              </w:rPr>
              <w:t>834.667</w:t>
            </w:r>
          </w:p>
        </w:tc>
        <w:tc>
          <w:tcPr>
            <w:tcW w:w="1134" w:type="dxa"/>
            <w:tcBorders>
              <w:bottom w:val="single" w:sz="12" w:space="0" w:color="000000"/>
            </w:tcBorders>
            <w:shd w:val="clear" w:color="auto" w:fill="auto"/>
            <w:vAlign w:val="center"/>
          </w:tcPr>
          <w:p w14:paraId="5741AC6C" w14:textId="77777777" w:rsidR="00812B7B" w:rsidRPr="00A61D3E" w:rsidRDefault="00812B7B" w:rsidP="00FF2DDC">
            <w:pPr>
              <w:rPr>
                <w:rFonts w:ascii="Verdana" w:hAnsi="Verdana"/>
                <w:sz w:val="16"/>
                <w:szCs w:val="16"/>
              </w:rPr>
            </w:pPr>
            <w:r w:rsidRPr="00A61D3E">
              <w:rPr>
                <w:rFonts w:ascii="Verdana" w:hAnsi="Verdana"/>
                <w:sz w:val="16"/>
                <w:szCs w:val="16"/>
              </w:rPr>
              <w:t>737.444</w:t>
            </w:r>
          </w:p>
        </w:tc>
        <w:tc>
          <w:tcPr>
            <w:tcW w:w="1276" w:type="dxa"/>
            <w:tcBorders>
              <w:bottom w:val="single" w:sz="12" w:space="0" w:color="000000"/>
            </w:tcBorders>
            <w:vAlign w:val="center"/>
          </w:tcPr>
          <w:p w14:paraId="0D808F1E" w14:textId="77777777" w:rsidR="00812B7B" w:rsidRPr="00A61D3E" w:rsidRDefault="00812B7B" w:rsidP="00FF2DDC">
            <w:pPr>
              <w:rPr>
                <w:rFonts w:ascii="Verdana" w:hAnsi="Verdana"/>
                <w:sz w:val="16"/>
                <w:szCs w:val="16"/>
              </w:rPr>
            </w:pPr>
            <w:r w:rsidRPr="00A61D3E">
              <w:rPr>
                <w:rFonts w:ascii="Verdana" w:hAnsi="Verdana"/>
                <w:sz w:val="16"/>
                <w:szCs w:val="16"/>
              </w:rPr>
              <w:t>748.267</w:t>
            </w:r>
          </w:p>
        </w:tc>
        <w:tc>
          <w:tcPr>
            <w:tcW w:w="1275" w:type="dxa"/>
            <w:tcBorders>
              <w:bottom w:val="single" w:sz="12" w:space="0" w:color="000000"/>
            </w:tcBorders>
            <w:vAlign w:val="center"/>
          </w:tcPr>
          <w:p w14:paraId="17FF2A3F" w14:textId="77777777" w:rsidR="00812B7B" w:rsidRPr="00A61D3E" w:rsidRDefault="00812B7B" w:rsidP="00FF2DDC">
            <w:pPr>
              <w:rPr>
                <w:rFonts w:ascii="Verdana" w:hAnsi="Verdana"/>
                <w:sz w:val="16"/>
                <w:szCs w:val="16"/>
              </w:rPr>
            </w:pPr>
            <w:r w:rsidRPr="00A61D3E">
              <w:rPr>
                <w:rFonts w:ascii="Verdana" w:hAnsi="Verdana"/>
                <w:sz w:val="16"/>
                <w:szCs w:val="16"/>
              </w:rPr>
              <w:t>-</w:t>
            </w:r>
          </w:p>
        </w:tc>
        <w:tc>
          <w:tcPr>
            <w:tcW w:w="1134" w:type="dxa"/>
            <w:tcBorders>
              <w:bottom w:val="single" w:sz="12" w:space="0" w:color="000000"/>
            </w:tcBorders>
            <w:vAlign w:val="center"/>
          </w:tcPr>
          <w:p w14:paraId="33047D24" w14:textId="77777777" w:rsidR="00812B7B" w:rsidRPr="00A61D3E" w:rsidRDefault="00812B7B" w:rsidP="00FF2DDC">
            <w:pPr>
              <w:rPr>
                <w:rFonts w:ascii="Verdana" w:hAnsi="Verdana"/>
                <w:sz w:val="16"/>
                <w:szCs w:val="16"/>
              </w:rPr>
            </w:pPr>
            <w:r w:rsidRPr="00A61D3E">
              <w:rPr>
                <w:rFonts w:ascii="Verdana" w:hAnsi="Verdana"/>
                <w:sz w:val="16"/>
                <w:szCs w:val="16"/>
              </w:rPr>
              <w:t>-</w:t>
            </w:r>
          </w:p>
        </w:tc>
        <w:tc>
          <w:tcPr>
            <w:tcW w:w="1134" w:type="dxa"/>
            <w:tcBorders>
              <w:bottom w:val="single" w:sz="12" w:space="0" w:color="000000"/>
            </w:tcBorders>
            <w:vAlign w:val="center"/>
          </w:tcPr>
          <w:p w14:paraId="4E41A824" w14:textId="77777777" w:rsidR="00812B7B" w:rsidRPr="00A61D3E" w:rsidRDefault="00812B7B" w:rsidP="00FF2DDC">
            <w:pPr>
              <w:rPr>
                <w:rFonts w:ascii="Verdana" w:hAnsi="Verdana"/>
                <w:sz w:val="16"/>
                <w:szCs w:val="16"/>
              </w:rPr>
            </w:pPr>
            <w:r w:rsidRPr="00A61D3E">
              <w:rPr>
                <w:rFonts w:ascii="Verdana" w:hAnsi="Verdana"/>
                <w:sz w:val="16"/>
                <w:szCs w:val="16"/>
              </w:rPr>
              <w:t>-</w:t>
            </w:r>
          </w:p>
        </w:tc>
      </w:tr>
      <w:tr w:rsidR="00812B7B" w:rsidRPr="00A61D3E" w14:paraId="59C74878" w14:textId="77777777" w:rsidTr="00FF2DDC">
        <w:trPr>
          <w:trHeight w:val="220"/>
        </w:trPr>
        <w:tc>
          <w:tcPr>
            <w:tcW w:w="1417" w:type="dxa"/>
            <w:tcBorders>
              <w:bottom w:val="single" w:sz="12" w:space="0" w:color="000000"/>
            </w:tcBorders>
            <w:shd w:val="clear" w:color="auto" w:fill="auto"/>
            <w:noWrap/>
            <w:vAlign w:val="center"/>
          </w:tcPr>
          <w:p w14:paraId="1D3B0BCD" w14:textId="77777777" w:rsidR="00812B7B" w:rsidRPr="00A61D3E" w:rsidRDefault="00812B7B" w:rsidP="00FF2DDC">
            <w:pPr>
              <w:rPr>
                <w:rFonts w:ascii="Verdana" w:hAnsi="Verdana"/>
                <w:sz w:val="20"/>
                <w:szCs w:val="20"/>
                <w:lang w:val="da-DK" w:eastAsia="en-GB"/>
              </w:rPr>
            </w:pPr>
            <w:r w:rsidRPr="00A61D3E">
              <w:rPr>
                <w:rFonts w:ascii="Verdana" w:hAnsi="Verdana"/>
                <w:sz w:val="20"/>
                <w:szCs w:val="20"/>
                <w:lang w:val="da-DK" w:eastAsia="en-GB"/>
              </w:rPr>
              <w:t>EIQAS</w:t>
            </w:r>
          </w:p>
        </w:tc>
        <w:tc>
          <w:tcPr>
            <w:tcW w:w="1134" w:type="dxa"/>
            <w:tcBorders>
              <w:bottom w:val="single" w:sz="12" w:space="0" w:color="000000"/>
            </w:tcBorders>
            <w:shd w:val="clear" w:color="auto" w:fill="auto"/>
            <w:noWrap/>
            <w:vAlign w:val="center"/>
          </w:tcPr>
          <w:p w14:paraId="7D4078A8" w14:textId="77777777" w:rsidR="00812B7B" w:rsidRPr="00A61D3E" w:rsidRDefault="00812B7B" w:rsidP="00FF2DDC">
            <w:pPr>
              <w:rPr>
                <w:rFonts w:ascii="Verdana" w:hAnsi="Verdana"/>
                <w:sz w:val="16"/>
                <w:szCs w:val="16"/>
              </w:rPr>
            </w:pPr>
            <w:r w:rsidRPr="00A61D3E">
              <w:rPr>
                <w:rFonts w:ascii="Verdana" w:hAnsi="Verdana"/>
                <w:sz w:val="16"/>
                <w:szCs w:val="16"/>
              </w:rPr>
              <w:t>-</w:t>
            </w:r>
          </w:p>
        </w:tc>
        <w:tc>
          <w:tcPr>
            <w:tcW w:w="1276" w:type="dxa"/>
            <w:tcBorders>
              <w:bottom w:val="single" w:sz="12" w:space="0" w:color="000000"/>
            </w:tcBorders>
            <w:shd w:val="clear" w:color="auto" w:fill="auto"/>
            <w:noWrap/>
            <w:vAlign w:val="center"/>
          </w:tcPr>
          <w:p w14:paraId="2D61C649" w14:textId="77777777" w:rsidR="00812B7B" w:rsidRPr="00A61D3E" w:rsidRDefault="00812B7B" w:rsidP="00FF2DDC">
            <w:pPr>
              <w:rPr>
                <w:rFonts w:ascii="Verdana" w:hAnsi="Verdana"/>
                <w:sz w:val="16"/>
                <w:szCs w:val="16"/>
              </w:rPr>
            </w:pPr>
            <w:r w:rsidRPr="00A61D3E">
              <w:rPr>
                <w:rFonts w:ascii="Verdana" w:hAnsi="Verdana"/>
                <w:sz w:val="16"/>
                <w:szCs w:val="16"/>
              </w:rPr>
              <w:t>-</w:t>
            </w:r>
          </w:p>
        </w:tc>
        <w:tc>
          <w:tcPr>
            <w:tcW w:w="1134" w:type="dxa"/>
            <w:tcBorders>
              <w:bottom w:val="single" w:sz="12" w:space="0" w:color="000000"/>
            </w:tcBorders>
            <w:shd w:val="clear" w:color="auto" w:fill="auto"/>
            <w:vAlign w:val="center"/>
          </w:tcPr>
          <w:p w14:paraId="1B009EBC" w14:textId="77777777" w:rsidR="00812B7B" w:rsidRPr="00A61D3E" w:rsidRDefault="00812B7B" w:rsidP="00FF2DDC">
            <w:pPr>
              <w:rPr>
                <w:rFonts w:ascii="Verdana" w:hAnsi="Verdana"/>
                <w:sz w:val="16"/>
                <w:szCs w:val="16"/>
              </w:rPr>
            </w:pPr>
            <w:r w:rsidRPr="00A61D3E">
              <w:rPr>
                <w:rFonts w:ascii="Verdana" w:hAnsi="Verdana"/>
                <w:sz w:val="16"/>
                <w:szCs w:val="16"/>
              </w:rPr>
              <w:t>-</w:t>
            </w:r>
          </w:p>
        </w:tc>
        <w:tc>
          <w:tcPr>
            <w:tcW w:w="1276" w:type="dxa"/>
            <w:tcBorders>
              <w:bottom w:val="single" w:sz="12" w:space="0" w:color="000000"/>
            </w:tcBorders>
            <w:vAlign w:val="center"/>
          </w:tcPr>
          <w:p w14:paraId="01D65F54" w14:textId="77777777" w:rsidR="00812B7B" w:rsidRPr="00A61D3E" w:rsidRDefault="00812B7B" w:rsidP="00FF2DDC">
            <w:pPr>
              <w:rPr>
                <w:rFonts w:ascii="Verdana" w:hAnsi="Verdana"/>
                <w:sz w:val="16"/>
                <w:szCs w:val="16"/>
              </w:rPr>
            </w:pPr>
            <w:r w:rsidRPr="00A61D3E">
              <w:rPr>
                <w:rFonts w:ascii="Verdana" w:hAnsi="Verdana"/>
                <w:sz w:val="16"/>
                <w:szCs w:val="16"/>
              </w:rPr>
              <w:t>4.715</w:t>
            </w:r>
          </w:p>
        </w:tc>
        <w:tc>
          <w:tcPr>
            <w:tcW w:w="1275" w:type="dxa"/>
            <w:tcBorders>
              <w:bottom w:val="single" w:sz="12" w:space="0" w:color="000000"/>
            </w:tcBorders>
            <w:vAlign w:val="center"/>
          </w:tcPr>
          <w:p w14:paraId="1813C281" w14:textId="77777777" w:rsidR="00812B7B" w:rsidRPr="00A61D3E" w:rsidRDefault="00812B7B" w:rsidP="00FF2DDC">
            <w:pPr>
              <w:rPr>
                <w:rFonts w:ascii="Verdana" w:hAnsi="Verdana"/>
                <w:sz w:val="16"/>
                <w:szCs w:val="16"/>
              </w:rPr>
            </w:pPr>
            <w:r w:rsidRPr="00A61D3E">
              <w:rPr>
                <w:rFonts w:ascii="Verdana" w:hAnsi="Verdana"/>
                <w:sz w:val="16"/>
                <w:szCs w:val="16"/>
              </w:rPr>
              <w:t>33.263</w:t>
            </w:r>
          </w:p>
        </w:tc>
        <w:tc>
          <w:tcPr>
            <w:tcW w:w="1134" w:type="dxa"/>
            <w:tcBorders>
              <w:bottom w:val="single" w:sz="12" w:space="0" w:color="000000"/>
            </w:tcBorders>
            <w:vAlign w:val="center"/>
          </w:tcPr>
          <w:p w14:paraId="4919900E" w14:textId="77777777" w:rsidR="00812B7B" w:rsidRPr="00A61D3E" w:rsidRDefault="00812B7B" w:rsidP="00FF2DDC">
            <w:pPr>
              <w:rPr>
                <w:rFonts w:ascii="Verdana" w:hAnsi="Verdana"/>
                <w:sz w:val="16"/>
                <w:szCs w:val="16"/>
              </w:rPr>
            </w:pPr>
            <w:r w:rsidRPr="00A61D3E">
              <w:rPr>
                <w:rFonts w:ascii="Verdana" w:hAnsi="Verdana"/>
                <w:sz w:val="16"/>
                <w:szCs w:val="16"/>
              </w:rPr>
              <w:t>4.247</w:t>
            </w:r>
          </w:p>
        </w:tc>
        <w:tc>
          <w:tcPr>
            <w:tcW w:w="1134" w:type="dxa"/>
            <w:tcBorders>
              <w:bottom w:val="single" w:sz="12" w:space="0" w:color="000000"/>
            </w:tcBorders>
            <w:vAlign w:val="center"/>
          </w:tcPr>
          <w:p w14:paraId="74B8349C" w14:textId="77777777" w:rsidR="00812B7B" w:rsidRPr="00A61D3E" w:rsidRDefault="00812B7B" w:rsidP="00FF2DDC">
            <w:pPr>
              <w:rPr>
                <w:rFonts w:ascii="Verdana" w:hAnsi="Verdana"/>
                <w:sz w:val="16"/>
                <w:szCs w:val="16"/>
              </w:rPr>
            </w:pPr>
            <w:r w:rsidRPr="00A61D3E">
              <w:rPr>
                <w:rFonts w:ascii="Verdana" w:hAnsi="Verdana"/>
                <w:sz w:val="16"/>
                <w:szCs w:val="16"/>
              </w:rPr>
              <w:t>-</w:t>
            </w:r>
          </w:p>
        </w:tc>
      </w:tr>
      <w:tr w:rsidR="00812B7B" w:rsidRPr="00A61D3E" w14:paraId="0CCD2F42" w14:textId="77777777" w:rsidTr="00FF2DDC">
        <w:trPr>
          <w:trHeight w:val="637"/>
        </w:trPr>
        <w:tc>
          <w:tcPr>
            <w:tcW w:w="1417" w:type="dxa"/>
            <w:tcBorders>
              <w:top w:val="single" w:sz="12" w:space="0" w:color="000000"/>
              <w:bottom w:val="single" w:sz="12" w:space="0" w:color="000000"/>
              <w:right w:val="single" w:sz="12" w:space="0" w:color="000000"/>
            </w:tcBorders>
            <w:shd w:val="clear" w:color="auto" w:fill="auto"/>
            <w:noWrap/>
            <w:vAlign w:val="center"/>
          </w:tcPr>
          <w:p w14:paraId="6179BB5F" w14:textId="77777777" w:rsidR="00812B7B" w:rsidRPr="00A61D3E" w:rsidRDefault="00812B7B" w:rsidP="00FF2DDC">
            <w:pPr>
              <w:rPr>
                <w:rFonts w:ascii="Verdana" w:hAnsi="Verdana"/>
                <w:sz w:val="20"/>
                <w:szCs w:val="20"/>
                <w:lang w:val="da-DK" w:eastAsia="en-GB"/>
              </w:rPr>
            </w:pPr>
            <w:r w:rsidRPr="00A61D3E">
              <w:rPr>
                <w:rFonts w:ascii="Verdana" w:hAnsi="Verdana"/>
                <w:sz w:val="20"/>
                <w:szCs w:val="20"/>
                <w:lang w:val="da-DK" w:eastAsia="en-GB"/>
              </w:rPr>
              <w:t>SKUPNA PORABA</w:t>
            </w:r>
          </w:p>
          <w:p w14:paraId="1616079A" w14:textId="77777777" w:rsidR="00812B7B" w:rsidRPr="00A61D3E" w:rsidRDefault="00812B7B" w:rsidP="00FF2DDC">
            <w:pPr>
              <w:rPr>
                <w:rFonts w:ascii="Verdana" w:hAnsi="Verdana"/>
                <w:sz w:val="16"/>
                <w:szCs w:val="16"/>
                <w:lang w:val="da-DK" w:eastAsia="en-GB"/>
              </w:rPr>
            </w:pPr>
            <w:r w:rsidRPr="00A61D3E">
              <w:rPr>
                <w:rFonts w:ascii="Verdana" w:hAnsi="Verdana"/>
                <w:sz w:val="16"/>
                <w:szCs w:val="16"/>
                <w:lang w:val="da-DK" w:eastAsia="en-GB"/>
              </w:rPr>
              <w:t>1+2+3+4+</w:t>
            </w:r>
          </w:p>
          <w:p w14:paraId="662E5B7C" w14:textId="77777777" w:rsidR="00812B7B" w:rsidRPr="00A61D3E" w:rsidRDefault="00812B7B" w:rsidP="00FF2DDC">
            <w:pPr>
              <w:rPr>
                <w:rFonts w:ascii="Verdana" w:hAnsi="Verdana"/>
                <w:sz w:val="20"/>
                <w:szCs w:val="20"/>
                <w:lang w:val="da-DK" w:eastAsia="en-GB"/>
              </w:rPr>
            </w:pPr>
            <w:r w:rsidRPr="00A61D3E">
              <w:rPr>
                <w:rFonts w:ascii="Verdana" w:hAnsi="Verdana"/>
                <w:sz w:val="16"/>
                <w:szCs w:val="16"/>
                <w:lang w:val="da-DK" w:eastAsia="en-GB"/>
              </w:rPr>
              <w:t>5+6+7+8+9+10</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14:paraId="1B789B43" w14:textId="77777777" w:rsidR="00812B7B" w:rsidRPr="00A61D3E" w:rsidRDefault="00812B7B" w:rsidP="00FF2DDC">
            <w:pPr>
              <w:rPr>
                <w:rFonts w:ascii="Verdana" w:hAnsi="Verdana"/>
                <w:sz w:val="16"/>
                <w:szCs w:val="16"/>
              </w:rPr>
            </w:pPr>
            <w:r w:rsidRPr="00A61D3E">
              <w:rPr>
                <w:rFonts w:ascii="Verdana" w:hAnsi="Verdana"/>
                <w:sz w:val="16"/>
                <w:szCs w:val="16"/>
              </w:rPr>
              <w:t>1.295.447</w:t>
            </w:r>
          </w:p>
        </w:tc>
        <w:tc>
          <w:tcPr>
            <w:tcW w:w="1276" w:type="dxa"/>
            <w:tcBorders>
              <w:top w:val="single" w:sz="12" w:space="0" w:color="000000"/>
              <w:left w:val="single" w:sz="12" w:space="0" w:color="000000"/>
              <w:bottom w:val="single" w:sz="12" w:space="0" w:color="000000"/>
            </w:tcBorders>
            <w:shd w:val="clear" w:color="auto" w:fill="auto"/>
            <w:noWrap/>
            <w:vAlign w:val="center"/>
          </w:tcPr>
          <w:p w14:paraId="7CE90C70" w14:textId="77777777" w:rsidR="00812B7B" w:rsidRPr="00A61D3E" w:rsidRDefault="00812B7B" w:rsidP="00FF2DDC">
            <w:pPr>
              <w:rPr>
                <w:rFonts w:ascii="Verdana" w:hAnsi="Verdana"/>
                <w:sz w:val="16"/>
                <w:szCs w:val="16"/>
              </w:rPr>
            </w:pPr>
            <w:r w:rsidRPr="00A61D3E">
              <w:rPr>
                <w:rFonts w:ascii="Verdana" w:hAnsi="Verdana"/>
                <w:sz w:val="16"/>
                <w:szCs w:val="16"/>
              </w:rPr>
              <w:t>1.301.114</w:t>
            </w:r>
          </w:p>
        </w:tc>
        <w:tc>
          <w:tcPr>
            <w:tcW w:w="1134" w:type="dxa"/>
            <w:tcBorders>
              <w:top w:val="single" w:sz="12" w:space="0" w:color="000000"/>
              <w:left w:val="single" w:sz="12" w:space="0" w:color="000000"/>
              <w:bottom w:val="single" w:sz="12" w:space="0" w:color="000000"/>
            </w:tcBorders>
            <w:shd w:val="clear" w:color="auto" w:fill="auto"/>
            <w:vAlign w:val="center"/>
          </w:tcPr>
          <w:p w14:paraId="138F203F" w14:textId="77777777" w:rsidR="00812B7B" w:rsidRPr="00A61D3E" w:rsidRDefault="00812B7B" w:rsidP="00FF2DDC">
            <w:pPr>
              <w:rPr>
                <w:rFonts w:ascii="Verdana" w:hAnsi="Verdana"/>
                <w:sz w:val="16"/>
                <w:szCs w:val="16"/>
              </w:rPr>
            </w:pPr>
            <w:r w:rsidRPr="00A61D3E">
              <w:rPr>
                <w:rFonts w:ascii="Verdana" w:hAnsi="Verdana"/>
                <w:sz w:val="16"/>
                <w:szCs w:val="16"/>
              </w:rPr>
              <w:t>1.209.022</w:t>
            </w:r>
          </w:p>
        </w:tc>
        <w:tc>
          <w:tcPr>
            <w:tcW w:w="1276" w:type="dxa"/>
            <w:tcBorders>
              <w:top w:val="single" w:sz="12" w:space="0" w:color="000000"/>
              <w:left w:val="single" w:sz="12" w:space="0" w:color="000000"/>
              <w:bottom w:val="single" w:sz="12" w:space="0" w:color="000000"/>
            </w:tcBorders>
            <w:vAlign w:val="center"/>
          </w:tcPr>
          <w:p w14:paraId="74D4D897" w14:textId="77777777" w:rsidR="00812B7B" w:rsidRPr="00A61D3E" w:rsidRDefault="00812B7B" w:rsidP="00FF2DDC">
            <w:pPr>
              <w:rPr>
                <w:rFonts w:ascii="Verdana" w:hAnsi="Verdana"/>
                <w:sz w:val="16"/>
                <w:szCs w:val="16"/>
              </w:rPr>
            </w:pPr>
            <w:r w:rsidRPr="00A61D3E">
              <w:rPr>
                <w:rFonts w:ascii="Verdana" w:hAnsi="Verdana"/>
                <w:sz w:val="16"/>
                <w:szCs w:val="16"/>
              </w:rPr>
              <w:t>1.310.752</w:t>
            </w:r>
          </w:p>
        </w:tc>
        <w:tc>
          <w:tcPr>
            <w:tcW w:w="1275" w:type="dxa"/>
            <w:tcBorders>
              <w:top w:val="single" w:sz="12" w:space="0" w:color="000000"/>
              <w:left w:val="single" w:sz="12" w:space="0" w:color="000000"/>
              <w:bottom w:val="single" w:sz="12" w:space="0" w:color="000000"/>
            </w:tcBorders>
            <w:vAlign w:val="center"/>
          </w:tcPr>
          <w:p w14:paraId="2486128A" w14:textId="77777777" w:rsidR="00812B7B" w:rsidRPr="00A61D3E" w:rsidRDefault="00812B7B" w:rsidP="00FF2DDC">
            <w:pPr>
              <w:rPr>
                <w:rFonts w:ascii="Verdana" w:hAnsi="Verdana"/>
                <w:sz w:val="16"/>
                <w:szCs w:val="16"/>
              </w:rPr>
            </w:pPr>
            <w:r w:rsidRPr="00A61D3E">
              <w:rPr>
                <w:rFonts w:ascii="Verdana" w:hAnsi="Verdana"/>
                <w:sz w:val="16"/>
                <w:szCs w:val="16"/>
              </w:rPr>
              <w:t>1.243.222</w:t>
            </w:r>
          </w:p>
        </w:tc>
        <w:tc>
          <w:tcPr>
            <w:tcW w:w="1134" w:type="dxa"/>
            <w:tcBorders>
              <w:top w:val="single" w:sz="12" w:space="0" w:color="000000"/>
              <w:left w:val="single" w:sz="12" w:space="0" w:color="000000"/>
              <w:bottom w:val="single" w:sz="12" w:space="0" w:color="000000"/>
            </w:tcBorders>
            <w:vAlign w:val="center"/>
          </w:tcPr>
          <w:p w14:paraId="4682115F" w14:textId="77777777" w:rsidR="00812B7B" w:rsidRPr="00A61D3E" w:rsidRDefault="00812B7B" w:rsidP="00FF2DDC">
            <w:pPr>
              <w:rPr>
                <w:rFonts w:ascii="Verdana" w:hAnsi="Verdana"/>
                <w:sz w:val="16"/>
                <w:szCs w:val="16"/>
              </w:rPr>
            </w:pPr>
            <w:r w:rsidRPr="00A61D3E">
              <w:rPr>
                <w:rFonts w:ascii="Verdana" w:hAnsi="Verdana"/>
                <w:sz w:val="16"/>
                <w:szCs w:val="16"/>
              </w:rPr>
              <w:t>1.120.250</w:t>
            </w:r>
          </w:p>
        </w:tc>
        <w:tc>
          <w:tcPr>
            <w:tcW w:w="1134" w:type="dxa"/>
            <w:tcBorders>
              <w:top w:val="single" w:sz="12" w:space="0" w:color="000000"/>
              <w:left w:val="single" w:sz="12" w:space="0" w:color="000000"/>
              <w:bottom w:val="single" w:sz="12" w:space="0" w:color="000000"/>
            </w:tcBorders>
            <w:vAlign w:val="center"/>
          </w:tcPr>
          <w:p w14:paraId="06E1502B" w14:textId="77777777" w:rsidR="00812B7B" w:rsidRPr="00A61D3E" w:rsidRDefault="00812B7B" w:rsidP="00FF2DDC">
            <w:pPr>
              <w:rPr>
                <w:rFonts w:ascii="Verdana" w:hAnsi="Verdana"/>
                <w:sz w:val="16"/>
                <w:szCs w:val="16"/>
              </w:rPr>
            </w:pPr>
            <w:r w:rsidRPr="00A61D3E">
              <w:rPr>
                <w:rFonts w:ascii="Verdana" w:hAnsi="Verdana"/>
                <w:sz w:val="16"/>
                <w:szCs w:val="16"/>
              </w:rPr>
              <w:t>1.103.587</w:t>
            </w:r>
          </w:p>
        </w:tc>
      </w:tr>
    </w:tbl>
    <w:p w14:paraId="369A9BD8" w14:textId="77777777" w:rsidR="00B33E0C" w:rsidRPr="00FF2DDC" w:rsidRDefault="00B33E0C" w:rsidP="00B33E0C">
      <w:pPr>
        <w:autoSpaceDE w:val="0"/>
        <w:autoSpaceDN w:val="0"/>
        <w:adjustRightInd w:val="0"/>
        <w:spacing w:after="0" w:line="240" w:lineRule="auto"/>
        <w:rPr>
          <w:rFonts w:ascii="Verdana" w:eastAsia="Times New Roman" w:hAnsi="Verdana" w:cs="Arial"/>
          <w:b/>
          <w:color w:val="000000"/>
          <w:sz w:val="20"/>
          <w:szCs w:val="20"/>
          <w:lang w:val="en-GB" w:eastAsia="en-GB"/>
        </w:rPr>
      </w:pPr>
    </w:p>
    <w:p w14:paraId="64596F07" w14:textId="77777777" w:rsidR="00B33E0C" w:rsidRPr="000663EE" w:rsidRDefault="00B33E0C" w:rsidP="00B33E0C">
      <w:pPr>
        <w:spacing w:after="0" w:line="240" w:lineRule="auto"/>
        <w:jc w:val="both"/>
        <w:rPr>
          <w:rFonts w:ascii="Verdana" w:eastAsia="Cambria" w:hAnsi="Verdana" w:cs="Calibri"/>
        </w:rPr>
      </w:pPr>
    </w:p>
    <w:p w14:paraId="491321D9" w14:textId="7E065BAB" w:rsidR="009B7801" w:rsidRPr="00005B77" w:rsidRDefault="009B7801" w:rsidP="001F0B15">
      <w:pPr>
        <w:widowControl w:val="0"/>
        <w:spacing w:after="0" w:line="240" w:lineRule="auto"/>
        <w:jc w:val="both"/>
        <w:rPr>
          <w:rStyle w:val="Neenpoudarek"/>
          <w:rFonts w:ascii="Verdana" w:hAnsi="Verdana"/>
          <w:b/>
          <w:sz w:val="28"/>
          <w:szCs w:val="28"/>
        </w:rPr>
      </w:pPr>
    </w:p>
    <w:p w14:paraId="54F7A728" w14:textId="628B6AC7" w:rsidR="009B7801" w:rsidRPr="00A61D3E" w:rsidRDefault="009B7801" w:rsidP="001F0B15">
      <w:pPr>
        <w:widowControl w:val="0"/>
        <w:spacing w:after="0" w:line="240" w:lineRule="auto"/>
        <w:jc w:val="both"/>
        <w:rPr>
          <w:rStyle w:val="Neenpoudarek"/>
          <w:rFonts w:ascii="Verdana" w:hAnsi="Verdana"/>
          <w:b/>
          <w:sz w:val="24"/>
          <w:szCs w:val="24"/>
        </w:rPr>
      </w:pPr>
      <w:r w:rsidRPr="00A61D3E">
        <w:rPr>
          <w:rStyle w:val="Neenpoudarek"/>
          <w:rFonts w:ascii="Verdana" w:hAnsi="Verdana"/>
          <w:b/>
          <w:sz w:val="24"/>
          <w:szCs w:val="24"/>
        </w:rPr>
        <w:t>KADRI</w:t>
      </w:r>
    </w:p>
    <w:p w14:paraId="4FCFF5B0" w14:textId="77777777" w:rsidR="00D066E0" w:rsidRPr="0056521F" w:rsidRDefault="00D066E0" w:rsidP="0071386F">
      <w:pPr>
        <w:spacing w:after="0" w:line="240" w:lineRule="auto"/>
        <w:jc w:val="both"/>
        <w:rPr>
          <w:rFonts w:ascii="Verdana" w:eastAsia="Cambria" w:hAnsi="Verdana" w:cs="Times New Roman"/>
        </w:rPr>
      </w:pPr>
    </w:p>
    <w:p w14:paraId="6E3F8B77" w14:textId="709C356C" w:rsidR="00BC2666" w:rsidRPr="00E314E4" w:rsidRDefault="00BC2666" w:rsidP="00BC2666">
      <w:pPr>
        <w:spacing w:after="0"/>
        <w:jc w:val="both"/>
        <w:rPr>
          <w:rFonts w:ascii="Verdana" w:hAnsi="Verdana"/>
        </w:rPr>
      </w:pPr>
      <w:r w:rsidRPr="000663EE">
        <w:rPr>
          <w:rFonts w:ascii="Verdana" w:hAnsi="Verdana"/>
        </w:rPr>
        <w:t>V letu 2018 je bila dvakrat sprejeta sprememba akta o notranji organizaciji in sistemizaciji delovnih mest v agenciji, in sicer marca zaradi napredovanj zaposlenih ter avgusta zaradi preoblikovanja v tri notranje organizacijske enote:</w:t>
      </w:r>
    </w:p>
    <w:p w14:paraId="16D6339E" w14:textId="77777777" w:rsidR="00BC2666" w:rsidRPr="00005B77" w:rsidRDefault="00BC2666" w:rsidP="00484FBF">
      <w:pPr>
        <w:pStyle w:val="Odstavekseznama"/>
        <w:numPr>
          <w:ilvl w:val="0"/>
          <w:numId w:val="48"/>
        </w:numPr>
        <w:spacing w:after="0"/>
        <w:jc w:val="both"/>
        <w:rPr>
          <w:rFonts w:ascii="Verdana" w:hAnsi="Verdana"/>
        </w:rPr>
      </w:pPr>
      <w:r w:rsidRPr="00005B77">
        <w:rPr>
          <w:rFonts w:ascii="Verdana" w:hAnsi="Verdana"/>
        </w:rPr>
        <w:t xml:space="preserve">sektor </w:t>
      </w:r>
      <w:r w:rsidRPr="00005B77">
        <w:rPr>
          <w:rFonts w:ascii="Verdana" w:eastAsia="Times New Roman" w:hAnsi="Verdana"/>
          <w:color w:val="000000"/>
        </w:rPr>
        <w:t>za kakovost,</w:t>
      </w:r>
    </w:p>
    <w:p w14:paraId="3286F0B8" w14:textId="77777777" w:rsidR="00BC2666" w:rsidRPr="00005B77" w:rsidRDefault="00BC2666" w:rsidP="00484FBF">
      <w:pPr>
        <w:pStyle w:val="Odstavekseznama"/>
        <w:numPr>
          <w:ilvl w:val="0"/>
          <w:numId w:val="48"/>
        </w:numPr>
        <w:spacing w:after="0"/>
        <w:jc w:val="both"/>
        <w:rPr>
          <w:rFonts w:ascii="Verdana" w:hAnsi="Verdana"/>
        </w:rPr>
      </w:pPr>
      <w:r w:rsidRPr="00005B77">
        <w:rPr>
          <w:rFonts w:ascii="Verdana" w:eastAsia="Times New Roman" w:hAnsi="Verdana"/>
          <w:color w:val="000000"/>
        </w:rPr>
        <w:t>sektor za analize, mednarodno sodelovanje in informatizacijo agencije,</w:t>
      </w:r>
    </w:p>
    <w:p w14:paraId="7DCD7EC8" w14:textId="77777777" w:rsidR="00BC2666" w:rsidRPr="00005B77" w:rsidRDefault="00BC2666" w:rsidP="00484FBF">
      <w:pPr>
        <w:pStyle w:val="Odstavekseznama"/>
        <w:numPr>
          <w:ilvl w:val="0"/>
          <w:numId w:val="48"/>
        </w:numPr>
        <w:spacing w:after="0"/>
        <w:jc w:val="both"/>
        <w:rPr>
          <w:rFonts w:ascii="Verdana" w:hAnsi="Verdana"/>
        </w:rPr>
      </w:pPr>
      <w:r w:rsidRPr="00005B77">
        <w:rPr>
          <w:rFonts w:ascii="Verdana" w:eastAsia="Times New Roman" w:hAnsi="Verdana"/>
          <w:color w:val="000000"/>
        </w:rPr>
        <w:t>sektor za splošne zadeve.</w:t>
      </w:r>
    </w:p>
    <w:p w14:paraId="5AC3BAFA" w14:textId="77777777" w:rsidR="00BC2666" w:rsidRPr="00005B77" w:rsidRDefault="00BC2666" w:rsidP="00BC2666">
      <w:pPr>
        <w:spacing w:after="0"/>
        <w:jc w:val="both"/>
        <w:rPr>
          <w:rFonts w:ascii="Verdana" w:eastAsia="Times New Roman" w:hAnsi="Verdana"/>
          <w:color w:val="000000"/>
        </w:rPr>
      </w:pPr>
      <w:r w:rsidRPr="00005B77">
        <w:rPr>
          <w:rFonts w:ascii="Verdana" w:eastAsia="Times New Roman" w:hAnsi="Verdana"/>
          <w:color w:val="000000"/>
        </w:rPr>
        <w:t>Zunaj notranjih organizacijskih enot sta sistemizirani dve delovni mesti: delovno mesto direktor in delovno mesto področni sekretar – namestnik direktorja.</w:t>
      </w:r>
    </w:p>
    <w:p w14:paraId="0022A6E2" w14:textId="77777777" w:rsidR="00005B77" w:rsidRDefault="00005B77" w:rsidP="00BC2666">
      <w:pPr>
        <w:spacing w:after="0"/>
        <w:jc w:val="both"/>
        <w:rPr>
          <w:rFonts w:ascii="Verdana" w:eastAsia="Times New Roman" w:hAnsi="Verdana"/>
          <w:bCs/>
          <w:color w:val="000000"/>
          <w:lang w:eastAsia="sl-SI"/>
        </w:rPr>
      </w:pPr>
    </w:p>
    <w:p w14:paraId="21E8E1FD" w14:textId="3236ECAE" w:rsidR="00BC2666" w:rsidRPr="00005B77" w:rsidRDefault="00005B77" w:rsidP="00BC2666">
      <w:pPr>
        <w:spacing w:after="0"/>
        <w:jc w:val="both"/>
        <w:rPr>
          <w:rFonts w:ascii="Verdana" w:eastAsia="Times New Roman" w:hAnsi="Verdana"/>
          <w:b/>
          <w:color w:val="000000"/>
        </w:rPr>
      </w:pPr>
      <w:r w:rsidRPr="004A476F">
        <w:rPr>
          <w:rFonts w:ascii="Verdana" w:eastAsia="Times New Roman" w:hAnsi="Verdana"/>
          <w:bCs/>
          <w:color w:val="000000"/>
          <w:lang w:eastAsia="sl-SI"/>
        </w:rPr>
        <w:t>Zaradi teh sprememb je bilo treba dvakrat pripravljati tudi nove pogodbe o zaposlitvi za zaposlene ter ustrezne anekse k pogodbam zaradi rednega napredovanja v plačne razrede.</w:t>
      </w:r>
    </w:p>
    <w:p w14:paraId="27A1CAF8" w14:textId="77777777" w:rsidR="0055649D" w:rsidRDefault="0055649D" w:rsidP="00BC2666">
      <w:pPr>
        <w:spacing w:after="0"/>
        <w:jc w:val="both"/>
        <w:rPr>
          <w:rFonts w:ascii="Verdana" w:hAnsi="Verdana" w:cs="Calibri"/>
        </w:rPr>
      </w:pPr>
    </w:p>
    <w:p w14:paraId="7E32603A" w14:textId="33BA5FF4" w:rsidR="00BC2666" w:rsidRPr="00005B77" w:rsidRDefault="00BC2666" w:rsidP="00BC2666">
      <w:pPr>
        <w:spacing w:after="0"/>
        <w:jc w:val="both"/>
        <w:rPr>
          <w:rFonts w:ascii="Verdana" w:hAnsi="Verdana" w:cs="Calibri"/>
        </w:rPr>
      </w:pPr>
      <w:r w:rsidRPr="00005B77">
        <w:rPr>
          <w:rFonts w:ascii="Verdana" w:hAnsi="Verdana" w:cs="Calibri"/>
        </w:rPr>
        <w:t xml:space="preserve">Na podlagi javnega natečaja za direktorja agencije je sredi marca svet agencije imenoval novega direktorja, delati je začel drugega aprila. V mesecu septembru je </w:t>
      </w:r>
      <w:r w:rsidRPr="00005B77">
        <w:rPr>
          <w:rFonts w:ascii="Verdana" w:hAnsi="Verdana" w:cs="Calibri"/>
        </w:rPr>
        <w:lastRenderedPageBreak/>
        <w:t>bil i</w:t>
      </w:r>
      <w:r w:rsidRPr="00005B77">
        <w:rPr>
          <w:rFonts w:ascii="Verdana" w:hAnsi="Verdana"/>
        </w:rPr>
        <w:t>zveden postopek za zaposlitev nujno potrebnega novega strokovnega delavca s področja informatike, ki je zaposlen v sektorju za analize, mednarodno sodelovanje in informatizacijo agencije.</w:t>
      </w:r>
    </w:p>
    <w:p w14:paraId="6DA28F8C" w14:textId="77777777" w:rsidR="00BC2666" w:rsidRPr="00005B77" w:rsidRDefault="00BC2666" w:rsidP="00BC2666">
      <w:pPr>
        <w:spacing w:after="0"/>
        <w:jc w:val="both"/>
        <w:rPr>
          <w:rFonts w:ascii="Verdana" w:hAnsi="Verdana" w:cs="Calibri"/>
        </w:rPr>
      </w:pPr>
    </w:p>
    <w:p w14:paraId="1D7F9AFE" w14:textId="674964BC" w:rsidR="00B10B3D" w:rsidRPr="00A61D3E" w:rsidRDefault="00BC2666" w:rsidP="00B10B3D">
      <w:pPr>
        <w:jc w:val="both"/>
        <w:rPr>
          <w:rFonts w:ascii="Verdana" w:eastAsia="Times New Roman" w:hAnsi="Verdana"/>
          <w:bCs/>
          <w:color w:val="000000"/>
          <w:lang w:eastAsia="sl-SI"/>
        </w:rPr>
      </w:pPr>
      <w:r w:rsidRPr="00005B77">
        <w:rPr>
          <w:rFonts w:ascii="Verdana" w:hAnsi="Verdana" w:cs="Calibri"/>
        </w:rPr>
        <w:t xml:space="preserve">Ob koncu leta 2018 je bilo skladno s sprejetim kadrovskim načrtom na agenciji skupaj 20 zaposlenih: direktor, področni sekretar – namestnik direktorja, 7 zaposlenih v sektorju za kakovost, 6 zaposlenih v </w:t>
      </w:r>
      <w:r w:rsidRPr="00005B77">
        <w:rPr>
          <w:rFonts w:ascii="Verdana" w:eastAsia="Times New Roman" w:hAnsi="Verdana"/>
          <w:color w:val="000000"/>
        </w:rPr>
        <w:t>sektorju za analize, mednarodno sodelovanje in informatizacijo agencije</w:t>
      </w:r>
      <w:r w:rsidRPr="00A61D3E">
        <w:rPr>
          <w:rFonts w:ascii="Verdana" w:hAnsi="Verdana" w:cs="Calibri"/>
        </w:rPr>
        <w:t xml:space="preserve"> ter 5 zaposlenih v sektorju za splošne zadeve. V primerjavi z letom 2017 se je število zaposlenih ohranilo (20).</w:t>
      </w:r>
      <w:r w:rsidRPr="00A61D3E">
        <w:rPr>
          <w:rFonts w:ascii="Verdana" w:hAnsi="Verdana" w:cs="Calibri"/>
          <w:color w:val="FF0000"/>
        </w:rPr>
        <w:t xml:space="preserve"> </w:t>
      </w:r>
      <w:r w:rsidR="00B10B3D" w:rsidRPr="00A61D3E">
        <w:rPr>
          <w:rFonts w:ascii="Verdana" w:eastAsia="Times New Roman" w:hAnsi="Verdana"/>
          <w:bCs/>
          <w:color w:val="000000"/>
          <w:lang w:eastAsia="sl-SI"/>
        </w:rPr>
        <w:t xml:space="preserve">Dvakrat je bil objavljen javni poziv za nove člane pritožbene komisije (septembra in novembra).   </w:t>
      </w:r>
    </w:p>
    <w:p w14:paraId="44CE512A" w14:textId="6EC62A83" w:rsidR="00122A06" w:rsidRPr="00A61D3E" w:rsidRDefault="00122A06" w:rsidP="00122A06">
      <w:pPr>
        <w:jc w:val="both"/>
        <w:rPr>
          <w:rFonts w:ascii="Verdana" w:hAnsi="Verdana"/>
        </w:rPr>
      </w:pPr>
      <w:r w:rsidRPr="00A61D3E">
        <w:rPr>
          <w:rFonts w:ascii="Verdana" w:hAnsi="Verdana"/>
        </w:rPr>
        <w:t xml:space="preserve">Eden od dokumentov, ki jih </w:t>
      </w:r>
      <w:r w:rsidR="0055649D">
        <w:rPr>
          <w:rFonts w:ascii="Verdana" w:hAnsi="Verdana"/>
        </w:rPr>
        <w:t xml:space="preserve">je </w:t>
      </w:r>
      <w:r w:rsidRPr="00A61D3E">
        <w:rPr>
          <w:rFonts w:ascii="Verdana" w:hAnsi="Verdana"/>
        </w:rPr>
        <w:t xml:space="preserve">agencija sprejela </w:t>
      </w:r>
      <w:r w:rsidR="0055649D">
        <w:rPr>
          <w:rFonts w:ascii="Verdana" w:hAnsi="Verdana"/>
        </w:rPr>
        <w:t xml:space="preserve">tudi </w:t>
      </w:r>
      <w:r w:rsidRPr="00A61D3E">
        <w:rPr>
          <w:rFonts w:ascii="Verdana" w:hAnsi="Verdana"/>
        </w:rPr>
        <w:t>v skladu s poročilom ENQA, je bil načrt razvoja kadrov. V ta namen je bila</w:t>
      </w:r>
      <w:r w:rsidR="0055649D">
        <w:rPr>
          <w:rFonts w:ascii="Verdana" w:hAnsi="Verdana"/>
        </w:rPr>
        <w:t xml:space="preserve"> avgusta 2018</w:t>
      </w:r>
      <w:r w:rsidRPr="00A61D3E">
        <w:rPr>
          <w:rFonts w:ascii="Verdana" w:hAnsi="Verdana"/>
        </w:rPr>
        <w:t xml:space="preserve"> med zaposlenimi opravljena anketa, ki je pokazala </w:t>
      </w:r>
      <w:r w:rsidR="0055649D">
        <w:rPr>
          <w:rFonts w:ascii="Verdana" w:hAnsi="Verdana"/>
        </w:rPr>
        <w:t xml:space="preserve">njihove </w:t>
      </w:r>
      <w:r w:rsidRPr="00A61D3E">
        <w:rPr>
          <w:rFonts w:ascii="Verdana" w:hAnsi="Verdana"/>
        </w:rPr>
        <w:t>želje in potrebe po strokovnem razvoju in izobraževanju,</w:t>
      </w:r>
      <w:r w:rsidR="00FC446B">
        <w:rPr>
          <w:rFonts w:ascii="Verdana" w:hAnsi="Verdana"/>
        </w:rPr>
        <w:t xml:space="preserve"> pa tudi zadovoljstvo s preteklim strokovnim razvojem.</w:t>
      </w:r>
      <w:r w:rsidRPr="00A61D3E">
        <w:rPr>
          <w:rFonts w:ascii="Verdana" w:hAnsi="Verdana"/>
        </w:rPr>
        <w:t xml:space="preserve"> </w:t>
      </w:r>
      <w:r w:rsidR="00FC446B">
        <w:rPr>
          <w:rFonts w:ascii="Verdana" w:hAnsi="Verdana"/>
        </w:rPr>
        <w:t>D</w:t>
      </w:r>
      <w:r w:rsidRPr="00A61D3E">
        <w:rPr>
          <w:rFonts w:ascii="Verdana" w:hAnsi="Verdana"/>
        </w:rPr>
        <w:t xml:space="preserve">irektor je </w:t>
      </w:r>
      <w:r w:rsidR="00FC446B" w:rsidRPr="004A476F">
        <w:rPr>
          <w:rFonts w:ascii="Verdana" w:hAnsi="Verdana"/>
        </w:rPr>
        <w:t>Načrt razvoja kadrov</w:t>
      </w:r>
      <w:r w:rsidR="00FC446B" w:rsidRPr="00A61D3E">
        <w:rPr>
          <w:rFonts w:ascii="Verdana" w:hAnsi="Verdana"/>
        </w:rPr>
        <w:t xml:space="preserve"> </w:t>
      </w:r>
      <w:r w:rsidR="00FC446B">
        <w:rPr>
          <w:rFonts w:ascii="Verdana" w:hAnsi="Verdana"/>
        </w:rPr>
        <w:t xml:space="preserve">sprejel </w:t>
      </w:r>
      <w:r w:rsidRPr="00A61D3E">
        <w:rPr>
          <w:rFonts w:ascii="Verdana" w:hAnsi="Verdana"/>
        </w:rPr>
        <w:t xml:space="preserve">3. </w:t>
      </w:r>
      <w:r w:rsidR="0055649D">
        <w:rPr>
          <w:rFonts w:ascii="Verdana" w:hAnsi="Verdana"/>
        </w:rPr>
        <w:t>septembra</w:t>
      </w:r>
      <w:r w:rsidRPr="00A61D3E">
        <w:rPr>
          <w:rFonts w:ascii="Verdana" w:hAnsi="Verdana"/>
        </w:rPr>
        <w:t xml:space="preserve"> 2018. V njem se je agencija zavezala, da bo skrbela za strokovno rast in izobraževanje zaposlenih, pri čemer bo smiselno upoštevala njihove želje in predloge ter za vsako leto v skladu s finančnim načrtom sprejela tudi načrt </w:t>
      </w:r>
      <w:r w:rsidR="0055649D">
        <w:rPr>
          <w:rFonts w:ascii="Verdana" w:hAnsi="Verdana"/>
        </w:rPr>
        <w:t>njihovega</w:t>
      </w:r>
      <w:r w:rsidRPr="00A61D3E">
        <w:rPr>
          <w:rFonts w:ascii="Verdana" w:hAnsi="Verdana"/>
        </w:rPr>
        <w:t xml:space="preserve"> </w:t>
      </w:r>
      <w:r w:rsidR="00FC446B">
        <w:rPr>
          <w:rFonts w:ascii="Verdana" w:hAnsi="Verdana"/>
        </w:rPr>
        <w:t>izobraževanja</w:t>
      </w:r>
      <w:r w:rsidRPr="00A61D3E">
        <w:rPr>
          <w:rFonts w:ascii="Verdana" w:hAnsi="Verdana"/>
        </w:rPr>
        <w:t xml:space="preserve">. Načrt izobraževanja zaposlenih je bil v letu 2018 v celoti izpeljan. </w:t>
      </w:r>
    </w:p>
    <w:p w14:paraId="34B26D2D" w14:textId="6CFDBCD3" w:rsidR="00BC2666" w:rsidRPr="00A61D3E" w:rsidRDefault="00BC2666" w:rsidP="00BC2666">
      <w:pPr>
        <w:widowControl w:val="0"/>
        <w:spacing w:after="0" w:line="240" w:lineRule="auto"/>
        <w:jc w:val="both"/>
        <w:rPr>
          <w:rFonts w:ascii="Verdana" w:eastAsia="Cambria" w:hAnsi="Verdana" w:cs="Calibri"/>
        </w:rPr>
      </w:pPr>
      <w:r w:rsidRPr="00A61D3E">
        <w:rPr>
          <w:rFonts w:ascii="Verdana" w:hAnsi="Verdana" w:cs="Calibri"/>
        </w:rPr>
        <w:t>V prihodnje agencij</w:t>
      </w:r>
      <w:r w:rsidR="00FC446B">
        <w:rPr>
          <w:rFonts w:ascii="Verdana" w:hAnsi="Verdana" w:cs="Calibri"/>
        </w:rPr>
        <w:t>a</w:t>
      </w:r>
      <w:r w:rsidRPr="00A61D3E">
        <w:rPr>
          <w:rFonts w:ascii="Verdana" w:hAnsi="Verdana" w:cs="Calibri"/>
        </w:rPr>
        <w:t xml:space="preserve"> načrtuje dve novi zaposlitvi. Za opravljanje spremljajočih finančnih del, ki jih trenutno opravlja študentka, bi bilo nujno in ekonomično zaposliti novega strokovnega delavca. Glede na nujnost nadaljnje internacionalizacije agencije</w:t>
      </w:r>
      <w:r w:rsidR="00FC446B">
        <w:rPr>
          <w:rFonts w:ascii="Verdana" w:hAnsi="Verdana" w:cs="Calibri"/>
        </w:rPr>
        <w:t xml:space="preserve"> </w:t>
      </w:r>
      <w:r w:rsidRPr="00A61D3E">
        <w:rPr>
          <w:rFonts w:ascii="Verdana" w:hAnsi="Verdana" w:cs="Calibri"/>
        </w:rPr>
        <w:t xml:space="preserve">ter </w:t>
      </w:r>
      <w:r w:rsidR="00FC446B">
        <w:rPr>
          <w:rFonts w:ascii="Verdana" w:hAnsi="Verdana" w:cs="Calibri"/>
        </w:rPr>
        <w:t xml:space="preserve">ob upoštevanju </w:t>
      </w:r>
      <w:r w:rsidRPr="00A61D3E">
        <w:rPr>
          <w:rFonts w:ascii="Verdana" w:hAnsi="Verdana" w:cs="Calibri"/>
        </w:rPr>
        <w:t>zakonsk</w:t>
      </w:r>
      <w:r w:rsidR="00FC446B">
        <w:rPr>
          <w:rFonts w:ascii="Verdana" w:hAnsi="Verdana" w:cs="Calibri"/>
        </w:rPr>
        <w:t>e</w:t>
      </w:r>
      <w:r w:rsidRPr="00A61D3E">
        <w:rPr>
          <w:rFonts w:ascii="Verdana" w:hAnsi="Verdana" w:cs="Calibri"/>
        </w:rPr>
        <w:t xml:space="preserve"> obvez</w:t>
      </w:r>
      <w:r w:rsidR="00FC446B">
        <w:rPr>
          <w:rFonts w:ascii="Verdana" w:hAnsi="Verdana" w:cs="Calibri"/>
        </w:rPr>
        <w:t>nosti</w:t>
      </w:r>
      <w:r w:rsidRPr="00A61D3E">
        <w:rPr>
          <w:rFonts w:ascii="Verdana" w:hAnsi="Verdana" w:cs="Calibri"/>
        </w:rPr>
        <w:t xml:space="preserve"> sodelovanja tujih strokovnjakov v postopkih akreditacij in zunanjih evalvacij</w:t>
      </w:r>
      <w:r w:rsidR="00FC446B">
        <w:rPr>
          <w:rFonts w:ascii="Verdana" w:hAnsi="Verdana" w:cs="Calibri"/>
        </w:rPr>
        <w:t>,</w:t>
      </w:r>
      <w:r w:rsidRPr="00A61D3E">
        <w:rPr>
          <w:rFonts w:ascii="Verdana" w:hAnsi="Verdana" w:cs="Calibri"/>
        </w:rPr>
        <w:t xml:space="preserve"> </w:t>
      </w:r>
      <w:r w:rsidR="00FC446B">
        <w:rPr>
          <w:rFonts w:ascii="Verdana" w:hAnsi="Verdana" w:cs="Calibri"/>
        </w:rPr>
        <w:t xml:space="preserve">čedalje večjih </w:t>
      </w:r>
      <w:r w:rsidRPr="00A61D3E">
        <w:rPr>
          <w:rFonts w:ascii="Verdana" w:hAnsi="Verdana" w:cs="Calibri"/>
        </w:rPr>
        <w:t xml:space="preserve">potreb po prevodih </w:t>
      </w:r>
      <w:r w:rsidR="00FC446B">
        <w:rPr>
          <w:rFonts w:ascii="Verdana" w:hAnsi="Verdana" w:cs="Calibri"/>
        </w:rPr>
        <w:t>vlog, prilog za akreditacije oziroma evalvacije</w:t>
      </w:r>
      <w:r w:rsidRPr="00A61D3E">
        <w:rPr>
          <w:rFonts w:ascii="Verdana" w:hAnsi="Verdana" w:cs="Calibri"/>
        </w:rPr>
        <w:t xml:space="preserve"> </w:t>
      </w:r>
      <w:r w:rsidR="00FC446B">
        <w:rPr>
          <w:rFonts w:ascii="Verdana" w:hAnsi="Verdana" w:cs="Calibri"/>
        </w:rPr>
        <w:t>ter različnih</w:t>
      </w:r>
      <w:r w:rsidRPr="00A61D3E">
        <w:rPr>
          <w:rFonts w:ascii="Verdana" w:hAnsi="Verdana" w:cs="Calibri"/>
        </w:rPr>
        <w:t xml:space="preserve"> </w:t>
      </w:r>
      <w:r w:rsidR="00FC446B">
        <w:rPr>
          <w:rFonts w:ascii="Verdana" w:hAnsi="Verdana" w:cs="Calibri"/>
        </w:rPr>
        <w:t xml:space="preserve">obširnih </w:t>
      </w:r>
      <w:r w:rsidRPr="00A61D3E">
        <w:rPr>
          <w:rFonts w:ascii="Verdana" w:hAnsi="Verdana" w:cs="Calibri"/>
        </w:rPr>
        <w:t xml:space="preserve">dokumentov </w:t>
      </w:r>
      <w:r w:rsidR="00FC446B">
        <w:rPr>
          <w:rFonts w:ascii="Verdana" w:hAnsi="Verdana" w:cs="Calibri"/>
        </w:rPr>
        <w:t xml:space="preserve">in predpisov </w:t>
      </w:r>
      <w:r w:rsidRPr="00A61D3E">
        <w:rPr>
          <w:rFonts w:ascii="Verdana" w:hAnsi="Verdana" w:cs="Calibri"/>
        </w:rPr>
        <w:t>agencije pa še prevajalca</w:t>
      </w:r>
      <w:r w:rsidR="00FC446B">
        <w:rPr>
          <w:rFonts w:ascii="Verdana" w:hAnsi="Verdana" w:cs="Calibri"/>
        </w:rPr>
        <w:t>-tolmača v angleški jezik</w:t>
      </w:r>
      <w:r w:rsidRPr="00A61D3E">
        <w:rPr>
          <w:rFonts w:ascii="Verdana" w:hAnsi="Verdana" w:cs="Calibri"/>
        </w:rPr>
        <w:t xml:space="preserve">. </w:t>
      </w:r>
      <w:r w:rsidR="003E72AE">
        <w:rPr>
          <w:rFonts w:ascii="Verdana" w:hAnsi="Verdana" w:cs="Calibri"/>
        </w:rPr>
        <w:t>Agencija z</w:t>
      </w:r>
      <w:r w:rsidR="00FC446B">
        <w:rPr>
          <w:rFonts w:ascii="Verdana" w:hAnsi="Verdana" w:cs="Calibri"/>
        </w:rPr>
        <w:t>aposlitev sledn</w:t>
      </w:r>
      <w:r w:rsidR="003E72AE">
        <w:rPr>
          <w:rFonts w:ascii="Verdana" w:hAnsi="Verdana" w:cs="Calibri"/>
        </w:rPr>
        <w:t xml:space="preserve">jega načrtuje že več let zapored. </w:t>
      </w:r>
    </w:p>
    <w:p w14:paraId="2E16A09E" w14:textId="2F3090FD" w:rsidR="0071386F" w:rsidRPr="00A61D3E" w:rsidRDefault="0071386F" w:rsidP="0071386F">
      <w:pPr>
        <w:tabs>
          <w:tab w:val="left" w:pos="2310"/>
        </w:tabs>
        <w:spacing w:after="0" w:line="240" w:lineRule="auto"/>
        <w:jc w:val="both"/>
        <w:rPr>
          <w:rFonts w:ascii="Verdana" w:eastAsia="Cambria" w:hAnsi="Verdana" w:cs="Times New Roman"/>
        </w:rPr>
      </w:pPr>
      <w:r w:rsidRPr="00A61D3E">
        <w:rPr>
          <w:rFonts w:ascii="Verdana" w:eastAsia="Cambria" w:hAnsi="Verdana" w:cs="Times New Roman"/>
          <w:b/>
        </w:rPr>
        <w:t xml:space="preserve"> </w:t>
      </w:r>
    </w:p>
    <w:p w14:paraId="44D5469C" w14:textId="77777777" w:rsidR="001F0B15" w:rsidRPr="00A61D3E" w:rsidRDefault="001F0B15" w:rsidP="001F0B15">
      <w:pPr>
        <w:widowControl w:val="0"/>
        <w:spacing w:after="0" w:line="240" w:lineRule="auto"/>
        <w:jc w:val="both"/>
        <w:rPr>
          <w:rFonts w:ascii="Verdana" w:eastAsia="Cambria" w:hAnsi="Verdana" w:cs="Calibri"/>
        </w:rPr>
      </w:pPr>
    </w:p>
    <w:p w14:paraId="4502B1CD" w14:textId="77777777" w:rsidR="001F0B15" w:rsidRPr="00A61D3E" w:rsidRDefault="001F0B15" w:rsidP="001F0B15">
      <w:pPr>
        <w:widowControl w:val="0"/>
        <w:spacing w:after="0" w:line="240" w:lineRule="auto"/>
        <w:jc w:val="both"/>
        <w:rPr>
          <w:rFonts w:ascii="Verdana" w:eastAsia="Cambria" w:hAnsi="Verdana" w:cs="Calibri"/>
        </w:rPr>
      </w:pPr>
    </w:p>
    <w:p w14:paraId="136BEB3A" w14:textId="77777777" w:rsidR="00A83BF0" w:rsidRPr="00A61D3E" w:rsidRDefault="00C0437B" w:rsidP="00A83BF0">
      <w:pPr>
        <w:pStyle w:val="Naslov"/>
        <w:rPr>
          <w:rFonts w:eastAsia="Cambria"/>
          <w:sz w:val="32"/>
        </w:rPr>
      </w:pPr>
      <w:bookmarkStart w:id="21" w:name="_Toc2157291"/>
      <w:r w:rsidRPr="00A61D3E">
        <w:rPr>
          <w:rFonts w:eastAsia="Cambria"/>
          <w:sz w:val="32"/>
        </w:rPr>
        <w:t xml:space="preserve">V </w:t>
      </w:r>
      <w:r w:rsidR="00A83BF0" w:rsidRPr="00A61D3E">
        <w:rPr>
          <w:rFonts w:eastAsia="Cambria"/>
          <w:sz w:val="32"/>
        </w:rPr>
        <w:t>SKLEP</w:t>
      </w:r>
      <w:bookmarkEnd w:id="21"/>
    </w:p>
    <w:p w14:paraId="2E2BDD2C" w14:textId="77777777" w:rsidR="00A83BF0" w:rsidRPr="00A61D3E" w:rsidRDefault="00A83BF0" w:rsidP="001F0B15">
      <w:pPr>
        <w:widowControl w:val="0"/>
        <w:spacing w:after="0" w:line="240" w:lineRule="auto"/>
        <w:jc w:val="both"/>
        <w:rPr>
          <w:rFonts w:ascii="Verdana" w:eastAsia="Cambria" w:hAnsi="Verdana" w:cs="Calibri"/>
        </w:rPr>
      </w:pPr>
    </w:p>
    <w:p w14:paraId="6A407F95" w14:textId="2B5AE975" w:rsidR="000140EA" w:rsidRPr="00A61D3E" w:rsidRDefault="00D41F74" w:rsidP="00D41F74">
      <w:pPr>
        <w:pStyle w:val="Telobesedila"/>
        <w:widowControl w:val="0"/>
        <w:spacing w:after="0"/>
        <w:jc w:val="both"/>
        <w:rPr>
          <w:rFonts w:ascii="Verdana" w:hAnsi="Verdana" w:cs="Calibri"/>
          <w:sz w:val="22"/>
          <w:szCs w:val="22"/>
        </w:rPr>
      </w:pPr>
      <w:r w:rsidRPr="00A61D3E">
        <w:rPr>
          <w:rFonts w:ascii="Verdana" w:hAnsi="Verdana" w:cs="Calibri"/>
          <w:sz w:val="22"/>
          <w:szCs w:val="22"/>
        </w:rPr>
        <w:t>Leto 201</w:t>
      </w:r>
      <w:r w:rsidR="000140EA" w:rsidRPr="00A61D3E">
        <w:rPr>
          <w:rFonts w:ascii="Verdana" w:hAnsi="Verdana" w:cs="Calibri"/>
          <w:sz w:val="22"/>
          <w:szCs w:val="22"/>
        </w:rPr>
        <w:t>8</w:t>
      </w:r>
      <w:r w:rsidRPr="00A61D3E">
        <w:rPr>
          <w:rFonts w:ascii="Verdana" w:hAnsi="Verdana" w:cs="Calibri"/>
          <w:sz w:val="22"/>
          <w:szCs w:val="22"/>
        </w:rPr>
        <w:t xml:space="preserve"> je bilo poleg dejavnosti, ki jih mora agencija opravljati po zakonu in drugih aktih agencije, namenjeno predvsem reorganizaciji dela</w:t>
      </w:r>
      <w:r w:rsidR="000140EA" w:rsidRPr="00A61D3E">
        <w:rPr>
          <w:rFonts w:ascii="Verdana" w:hAnsi="Verdana" w:cs="Calibri"/>
          <w:sz w:val="22"/>
          <w:szCs w:val="22"/>
        </w:rPr>
        <w:t xml:space="preserve"> oziroma organizaciji novega sektorja za analize, mednarodno sodelovanje in informatizacijo z novimi nalogami</w:t>
      </w:r>
      <w:r w:rsidRPr="00A61D3E">
        <w:rPr>
          <w:rFonts w:ascii="Verdana" w:hAnsi="Verdana" w:cs="Calibri"/>
          <w:sz w:val="22"/>
          <w:szCs w:val="22"/>
        </w:rPr>
        <w:t>,</w:t>
      </w:r>
      <w:r w:rsidR="000140EA" w:rsidRPr="00A61D3E">
        <w:rPr>
          <w:rFonts w:ascii="Verdana" w:hAnsi="Verdana" w:cs="Calibri"/>
          <w:sz w:val="22"/>
          <w:szCs w:val="22"/>
        </w:rPr>
        <w:t xml:space="preserve"> ki jih agencija v obliki, kot so bile vpeljane, prej ni sistematično opravljala. Velik napredek je bil narejen </w:t>
      </w:r>
      <w:r w:rsidR="00D91874" w:rsidRPr="00A61D3E">
        <w:rPr>
          <w:rFonts w:ascii="Verdana" w:hAnsi="Verdana" w:cs="Calibri"/>
          <w:sz w:val="22"/>
          <w:szCs w:val="22"/>
        </w:rPr>
        <w:t>skoraj na vseh področjih delovanja agencije; poudariti je treba</w:t>
      </w:r>
      <w:r w:rsidR="000140EA" w:rsidRPr="00A61D3E">
        <w:rPr>
          <w:rFonts w:ascii="Verdana" w:hAnsi="Verdana" w:cs="Calibri"/>
          <w:sz w:val="22"/>
          <w:szCs w:val="22"/>
        </w:rPr>
        <w:t>:</w:t>
      </w:r>
    </w:p>
    <w:p w14:paraId="11CB5A33" w14:textId="5EE405A3" w:rsidR="000140EA" w:rsidRPr="00A61D3E" w:rsidRDefault="000140EA" w:rsidP="001C0EBD">
      <w:pPr>
        <w:pStyle w:val="Telobesedila"/>
        <w:widowControl w:val="0"/>
        <w:numPr>
          <w:ilvl w:val="0"/>
          <w:numId w:val="45"/>
        </w:numPr>
        <w:spacing w:after="0"/>
        <w:jc w:val="both"/>
        <w:rPr>
          <w:rFonts w:ascii="Verdana" w:hAnsi="Verdana" w:cs="Calibri"/>
          <w:sz w:val="22"/>
          <w:szCs w:val="22"/>
        </w:rPr>
      </w:pPr>
      <w:r w:rsidRPr="00A61D3E">
        <w:rPr>
          <w:rFonts w:ascii="Verdana" w:hAnsi="Verdana" w:cs="Calibri"/>
          <w:sz w:val="22"/>
          <w:szCs w:val="22"/>
        </w:rPr>
        <w:t>sprotn</w:t>
      </w:r>
      <w:r w:rsidR="00D91874" w:rsidRPr="00A61D3E">
        <w:rPr>
          <w:rFonts w:ascii="Verdana" w:hAnsi="Verdana" w:cs="Calibri"/>
          <w:sz w:val="22"/>
          <w:szCs w:val="22"/>
        </w:rPr>
        <w:t>o</w:t>
      </w:r>
      <w:r w:rsidRPr="00A61D3E">
        <w:rPr>
          <w:rFonts w:ascii="Verdana" w:hAnsi="Verdana" w:cs="Calibri"/>
          <w:sz w:val="22"/>
          <w:szCs w:val="22"/>
        </w:rPr>
        <w:t xml:space="preserve"> spremljanj</w:t>
      </w:r>
      <w:r w:rsidR="00D91874" w:rsidRPr="00A61D3E">
        <w:rPr>
          <w:rFonts w:ascii="Verdana" w:hAnsi="Verdana" w:cs="Calibri"/>
          <w:sz w:val="22"/>
          <w:szCs w:val="22"/>
        </w:rPr>
        <w:t>e</w:t>
      </w:r>
      <w:r w:rsidRPr="00A61D3E">
        <w:rPr>
          <w:rFonts w:ascii="Verdana" w:hAnsi="Verdana" w:cs="Calibri"/>
          <w:sz w:val="22"/>
          <w:szCs w:val="22"/>
        </w:rPr>
        <w:t xml:space="preserve"> posameznih faz v akreditacijskih in evalvacijskih postopkih in javn</w:t>
      </w:r>
      <w:r w:rsidR="00D91874" w:rsidRPr="00A61D3E">
        <w:rPr>
          <w:rFonts w:ascii="Verdana" w:hAnsi="Verdana" w:cs="Calibri"/>
          <w:sz w:val="22"/>
          <w:szCs w:val="22"/>
        </w:rPr>
        <w:t>o</w:t>
      </w:r>
      <w:r w:rsidRPr="00A61D3E">
        <w:rPr>
          <w:rFonts w:ascii="Verdana" w:hAnsi="Verdana" w:cs="Calibri"/>
          <w:sz w:val="22"/>
          <w:szCs w:val="22"/>
        </w:rPr>
        <w:t xml:space="preserve"> objavljanj</w:t>
      </w:r>
      <w:r w:rsidR="00D91874" w:rsidRPr="00A61D3E">
        <w:rPr>
          <w:rFonts w:ascii="Verdana" w:hAnsi="Verdana" w:cs="Calibri"/>
          <w:sz w:val="22"/>
          <w:szCs w:val="22"/>
        </w:rPr>
        <w:t>e</w:t>
      </w:r>
      <w:r w:rsidRPr="00A61D3E">
        <w:rPr>
          <w:rFonts w:ascii="Verdana" w:hAnsi="Verdana" w:cs="Calibri"/>
          <w:sz w:val="22"/>
          <w:szCs w:val="22"/>
        </w:rPr>
        <w:t xml:space="preserve"> podatkov o tem</w:t>
      </w:r>
      <w:r w:rsidR="00D91874" w:rsidRPr="00A61D3E">
        <w:rPr>
          <w:rFonts w:ascii="Verdana" w:hAnsi="Verdana" w:cs="Calibri"/>
          <w:sz w:val="22"/>
          <w:szCs w:val="22"/>
        </w:rPr>
        <w:t>;</w:t>
      </w:r>
    </w:p>
    <w:p w14:paraId="173AC415" w14:textId="6CB91B45" w:rsidR="000140EA" w:rsidRPr="00A61D3E" w:rsidRDefault="000140EA" w:rsidP="001C0EBD">
      <w:pPr>
        <w:pStyle w:val="Telobesedila"/>
        <w:widowControl w:val="0"/>
        <w:numPr>
          <w:ilvl w:val="0"/>
          <w:numId w:val="45"/>
        </w:numPr>
        <w:spacing w:after="0"/>
        <w:jc w:val="both"/>
        <w:rPr>
          <w:rFonts w:ascii="Verdana" w:hAnsi="Verdana" w:cs="Calibri"/>
          <w:sz w:val="22"/>
          <w:szCs w:val="22"/>
        </w:rPr>
      </w:pPr>
      <w:r w:rsidRPr="00A61D3E">
        <w:rPr>
          <w:rFonts w:ascii="Verdana" w:hAnsi="Verdana" w:cs="Calibri"/>
          <w:sz w:val="22"/>
          <w:szCs w:val="22"/>
        </w:rPr>
        <w:t>vzpostavit</w:t>
      </w:r>
      <w:r w:rsidR="00D91874" w:rsidRPr="00A61D3E">
        <w:rPr>
          <w:rFonts w:ascii="Verdana" w:hAnsi="Verdana" w:cs="Calibri"/>
          <w:sz w:val="22"/>
          <w:szCs w:val="22"/>
        </w:rPr>
        <w:t>e</w:t>
      </w:r>
      <w:r w:rsidRPr="00A61D3E">
        <w:rPr>
          <w:rFonts w:ascii="Verdana" w:hAnsi="Verdana" w:cs="Calibri"/>
          <w:sz w:val="22"/>
          <w:szCs w:val="22"/>
        </w:rPr>
        <w:t>v informacijskega sistema eNakvis</w:t>
      </w:r>
      <w:r w:rsidR="00D91874" w:rsidRPr="00A61D3E">
        <w:rPr>
          <w:rFonts w:ascii="Verdana" w:hAnsi="Verdana" w:cs="Calibri"/>
          <w:sz w:val="22"/>
          <w:szCs w:val="22"/>
        </w:rPr>
        <w:t>;</w:t>
      </w:r>
      <w:r w:rsidRPr="00A61D3E">
        <w:rPr>
          <w:rFonts w:ascii="Verdana" w:hAnsi="Verdana" w:cs="Calibri"/>
          <w:sz w:val="22"/>
          <w:szCs w:val="22"/>
        </w:rPr>
        <w:t xml:space="preserve"> </w:t>
      </w:r>
      <w:r w:rsidR="00D91874" w:rsidRPr="00A61D3E">
        <w:rPr>
          <w:rFonts w:ascii="Verdana" w:hAnsi="Verdana" w:cs="Calibri"/>
          <w:sz w:val="22"/>
          <w:szCs w:val="22"/>
        </w:rPr>
        <w:t>omogočanje</w:t>
      </w:r>
      <w:r w:rsidRPr="00A61D3E">
        <w:rPr>
          <w:rFonts w:ascii="Verdana" w:hAnsi="Verdana" w:cs="Calibri"/>
          <w:sz w:val="22"/>
          <w:szCs w:val="22"/>
        </w:rPr>
        <w:t xml:space="preserve"> oddajanj</w:t>
      </w:r>
      <w:r w:rsidR="00D91874" w:rsidRPr="00A61D3E">
        <w:rPr>
          <w:rFonts w:ascii="Verdana" w:hAnsi="Verdana" w:cs="Calibri"/>
          <w:sz w:val="22"/>
          <w:szCs w:val="22"/>
        </w:rPr>
        <w:t>a elektronskih</w:t>
      </w:r>
      <w:r w:rsidRPr="00A61D3E">
        <w:rPr>
          <w:rFonts w:ascii="Verdana" w:hAnsi="Verdana" w:cs="Calibri"/>
          <w:sz w:val="22"/>
          <w:szCs w:val="22"/>
        </w:rPr>
        <w:t xml:space="preserve"> vlog za akreditacije in zunanje evalvacije</w:t>
      </w:r>
      <w:r w:rsidR="00D91874" w:rsidRPr="00A61D3E">
        <w:rPr>
          <w:rFonts w:ascii="Verdana" w:hAnsi="Verdana" w:cs="Calibri"/>
          <w:sz w:val="22"/>
          <w:szCs w:val="22"/>
        </w:rPr>
        <w:t xml:space="preserve">, sodelovanje z eVŠ, </w:t>
      </w:r>
      <w:r w:rsidR="00D91874" w:rsidRPr="00A61D3E">
        <w:rPr>
          <w:rFonts w:ascii="Verdana" w:hAnsi="Verdana" w:cs="Calibri"/>
          <w:sz w:val="22"/>
          <w:szCs w:val="22"/>
        </w:rPr>
        <w:lastRenderedPageBreak/>
        <w:t>univerzami in drugimi visokošolskimi zavodi ter</w:t>
      </w:r>
      <w:r w:rsidRPr="00A61D3E">
        <w:rPr>
          <w:rFonts w:ascii="Verdana" w:hAnsi="Verdana" w:cs="Calibri"/>
          <w:sz w:val="22"/>
          <w:szCs w:val="22"/>
        </w:rPr>
        <w:t xml:space="preserve"> izdelava načrta za njegov nadaljnji razvoj</w:t>
      </w:r>
      <w:r w:rsidR="00D91874" w:rsidRPr="00A61D3E">
        <w:rPr>
          <w:rFonts w:ascii="Verdana" w:hAnsi="Verdana" w:cs="Calibri"/>
          <w:sz w:val="22"/>
          <w:szCs w:val="22"/>
        </w:rPr>
        <w:t>;</w:t>
      </w:r>
    </w:p>
    <w:p w14:paraId="1C4CA85D" w14:textId="14580F32" w:rsidR="000140EA" w:rsidRPr="00A61D3E" w:rsidRDefault="00D91874" w:rsidP="001C0EBD">
      <w:pPr>
        <w:pStyle w:val="Telobesedila"/>
        <w:widowControl w:val="0"/>
        <w:numPr>
          <w:ilvl w:val="0"/>
          <w:numId w:val="45"/>
        </w:numPr>
        <w:spacing w:after="0"/>
        <w:jc w:val="both"/>
        <w:rPr>
          <w:rFonts w:ascii="Verdana" w:hAnsi="Verdana" w:cs="Calibri"/>
          <w:sz w:val="22"/>
          <w:szCs w:val="22"/>
        </w:rPr>
      </w:pPr>
      <w:r w:rsidRPr="00A61D3E">
        <w:rPr>
          <w:rFonts w:ascii="Verdana" w:hAnsi="Verdana" w:cs="Calibri"/>
          <w:sz w:val="22"/>
          <w:szCs w:val="22"/>
        </w:rPr>
        <w:t xml:space="preserve">ureditev </w:t>
      </w:r>
      <w:r w:rsidR="000140EA" w:rsidRPr="00A61D3E">
        <w:rPr>
          <w:rFonts w:ascii="Verdana" w:hAnsi="Verdana" w:cs="Calibri"/>
          <w:sz w:val="22"/>
          <w:szCs w:val="22"/>
        </w:rPr>
        <w:t>komunikacij</w:t>
      </w:r>
      <w:r w:rsidRPr="00A61D3E">
        <w:rPr>
          <w:rFonts w:ascii="Verdana" w:hAnsi="Verdana" w:cs="Calibri"/>
          <w:sz w:val="22"/>
          <w:szCs w:val="22"/>
        </w:rPr>
        <w:t>e</w:t>
      </w:r>
      <w:r w:rsidR="000140EA" w:rsidRPr="00A61D3E">
        <w:rPr>
          <w:rFonts w:ascii="Verdana" w:hAnsi="Verdana" w:cs="Calibri"/>
          <w:sz w:val="22"/>
          <w:szCs w:val="22"/>
        </w:rPr>
        <w:t>, predvsem z zunanjimi deležniki</w:t>
      </w:r>
      <w:r w:rsidRPr="00A61D3E">
        <w:rPr>
          <w:rFonts w:ascii="Verdana" w:hAnsi="Verdana" w:cs="Calibri"/>
          <w:sz w:val="22"/>
          <w:szCs w:val="22"/>
        </w:rPr>
        <w:t>;</w:t>
      </w:r>
    </w:p>
    <w:p w14:paraId="79B7A0FA" w14:textId="114B9EA6" w:rsidR="00D91874" w:rsidRPr="005506D6" w:rsidRDefault="00D91874" w:rsidP="001C0EBD">
      <w:pPr>
        <w:pStyle w:val="Telobesedila"/>
        <w:widowControl w:val="0"/>
        <w:numPr>
          <w:ilvl w:val="0"/>
          <w:numId w:val="45"/>
        </w:numPr>
        <w:spacing w:after="0"/>
        <w:jc w:val="both"/>
        <w:rPr>
          <w:rFonts w:ascii="Verdana" w:hAnsi="Verdana" w:cs="Calibri"/>
          <w:sz w:val="22"/>
          <w:szCs w:val="22"/>
        </w:rPr>
      </w:pPr>
      <w:r w:rsidRPr="005506D6">
        <w:rPr>
          <w:rFonts w:ascii="Verdana" w:hAnsi="Verdana" w:cs="Calibri"/>
          <w:sz w:val="22"/>
          <w:szCs w:val="22"/>
        </w:rPr>
        <w:t>nove spletne strani agencije, prilagojene slepim in slabovidnim ter drugim uporabnikom, ter njihovo sprotno posodabljanje v slovenskem in angleškem jeziku;</w:t>
      </w:r>
    </w:p>
    <w:p w14:paraId="4278DD59" w14:textId="1D120399" w:rsidR="00D91874" w:rsidRPr="001C0EBD" w:rsidRDefault="00D91874" w:rsidP="001C0EBD">
      <w:pPr>
        <w:pStyle w:val="Telobesedila"/>
        <w:widowControl w:val="0"/>
        <w:numPr>
          <w:ilvl w:val="0"/>
          <w:numId w:val="45"/>
        </w:numPr>
        <w:spacing w:after="0"/>
        <w:jc w:val="both"/>
        <w:rPr>
          <w:rFonts w:ascii="Verdana" w:hAnsi="Verdana" w:cs="Calibri"/>
          <w:sz w:val="22"/>
          <w:szCs w:val="22"/>
        </w:rPr>
      </w:pPr>
      <w:r w:rsidRPr="005506D6">
        <w:rPr>
          <w:rFonts w:ascii="Verdana" w:hAnsi="Verdana" w:cs="Calibri"/>
          <w:sz w:val="22"/>
          <w:szCs w:val="22"/>
        </w:rPr>
        <w:t xml:space="preserve">ureditev analitičnega in razvojnega dela agencije kot pomembnega dejavnika za </w:t>
      </w:r>
      <w:r w:rsidR="00D16126" w:rsidRPr="005506D6">
        <w:rPr>
          <w:rFonts w:ascii="Verdana" w:hAnsi="Verdana" w:cs="Calibri"/>
          <w:sz w:val="22"/>
          <w:szCs w:val="22"/>
        </w:rPr>
        <w:t xml:space="preserve">nadaljnji razvoj in prihodnje </w:t>
      </w:r>
      <w:r w:rsidR="00D16126" w:rsidRPr="001C0EBD">
        <w:rPr>
          <w:rFonts w:ascii="Verdana" w:hAnsi="Verdana" w:cs="Calibri"/>
          <w:sz w:val="22"/>
          <w:szCs w:val="22"/>
        </w:rPr>
        <w:t>načrtovanje</w:t>
      </w:r>
      <w:r w:rsidR="00DE4C6F" w:rsidRPr="001C0EBD">
        <w:rPr>
          <w:rFonts w:ascii="Verdana" w:hAnsi="Verdana" w:cs="Calibri"/>
          <w:sz w:val="22"/>
          <w:szCs w:val="22"/>
        </w:rPr>
        <w:t xml:space="preserve"> presojanja in izboljševanja, pa tudi spodbujanja kakovosti visokega in višjega šolstva</w:t>
      </w:r>
      <w:r w:rsidRPr="001C0EBD">
        <w:rPr>
          <w:rFonts w:ascii="Verdana" w:hAnsi="Verdana" w:cs="Calibri"/>
          <w:sz w:val="22"/>
          <w:szCs w:val="22"/>
        </w:rPr>
        <w:t>;</w:t>
      </w:r>
    </w:p>
    <w:p w14:paraId="7CE94C75" w14:textId="186F1EC0" w:rsidR="00D91874" w:rsidRPr="001C0EBD" w:rsidRDefault="00DE4C6F" w:rsidP="001C0EBD">
      <w:pPr>
        <w:pStyle w:val="Telobesedila"/>
        <w:widowControl w:val="0"/>
        <w:numPr>
          <w:ilvl w:val="0"/>
          <w:numId w:val="45"/>
        </w:numPr>
        <w:spacing w:after="0"/>
        <w:jc w:val="both"/>
        <w:rPr>
          <w:rFonts w:ascii="Verdana" w:hAnsi="Verdana" w:cs="Calibri"/>
          <w:sz w:val="22"/>
          <w:szCs w:val="22"/>
        </w:rPr>
      </w:pPr>
      <w:r w:rsidRPr="001C0EBD">
        <w:rPr>
          <w:rFonts w:ascii="Verdana" w:hAnsi="Verdana" w:cs="Calibri"/>
          <w:sz w:val="22"/>
          <w:szCs w:val="22"/>
        </w:rPr>
        <w:t xml:space="preserve">načrtovan </w:t>
      </w:r>
      <w:r w:rsidR="00D91874" w:rsidRPr="001C0EBD">
        <w:rPr>
          <w:rFonts w:ascii="Verdana" w:hAnsi="Verdana" w:cs="Calibri"/>
          <w:sz w:val="22"/>
          <w:szCs w:val="22"/>
        </w:rPr>
        <w:t>razvoj kadrov</w:t>
      </w:r>
      <w:r w:rsidRPr="001C0EBD">
        <w:rPr>
          <w:rFonts w:ascii="Verdana" w:hAnsi="Verdana" w:cs="Calibri"/>
          <w:sz w:val="22"/>
          <w:szCs w:val="22"/>
        </w:rPr>
        <w:t>, tako stalnega usposabljanja in izobraževanja kot poklicne poti zaposlenih</w:t>
      </w:r>
      <w:r w:rsidR="00D91874" w:rsidRPr="001C0EBD">
        <w:rPr>
          <w:rFonts w:ascii="Verdana" w:hAnsi="Verdana" w:cs="Calibri"/>
          <w:sz w:val="22"/>
          <w:szCs w:val="22"/>
        </w:rPr>
        <w:t>.</w:t>
      </w:r>
    </w:p>
    <w:p w14:paraId="63D38893" w14:textId="5622D8CB" w:rsidR="00D41F74" w:rsidRPr="001C0EBD" w:rsidRDefault="00D41F74" w:rsidP="001C0EBD">
      <w:pPr>
        <w:pStyle w:val="Telobesedila"/>
        <w:widowControl w:val="0"/>
        <w:spacing w:after="0"/>
        <w:jc w:val="both"/>
        <w:rPr>
          <w:rFonts w:ascii="Verdana" w:hAnsi="Verdana" w:cs="Calibri"/>
          <w:sz w:val="22"/>
          <w:szCs w:val="22"/>
        </w:rPr>
      </w:pPr>
      <w:r w:rsidRPr="001C0EBD">
        <w:rPr>
          <w:rFonts w:ascii="Verdana" w:hAnsi="Verdana" w:cs="Calibri"/>
          <w:sz w:val="22"/>
          <w:szCs w:val="22"/>
        </w:rPr>
        <w:t xml:space="preserve"> </w:t>
      </w:r>
    </w:p>
    <w:p w14:paraId="68AF82F5" w14:textId="1F9F5A33" w:rsidR="00D41F74" w:rsidRPr="001C0EBD" w:rsidRDefault="00DE4C6F" w:rsidP="00D41F74">
      <w:pPr>
        <w:pStyle w:val="Telobesedila"/>
        <w:widowControl w:val="0"/>
        <w:spacing w:after="0"/>
        <w:jc w:val="both"/>
        <w:rPr>
          <w:rFonts w:ascii="Verdana" w:hAnsi="Verdana" w:cs="Calibri"/>
          <w:sz w:val="22"/>
          <w:szCs w:val="22"/>
        </w:rPr>
      </w:pPr>
      <w:r w:rsidRPr="001C0EBD">
        <w:rPr>
          <w:rFonts w:ascii="Verdana" w:hAnsi="Verdana" w:cs="Calibri"/>
          <w:sz w:val="22"/>
          <w:szCs w:val="22"/>
        </w:rPr>
        <w:t xml:space="preserve">V letu 2018 je agencija dobila veliko mednarodno priznanje o svojem delu, saj ji je bilo podaljšano polnopravno članstvo v ENQA za nadaljnjih pet let oziroma za celotno predpisano obdobje. </w:t>
      </w:r>
      <w:r w:rsidR="001C0EBD" w:rsidRPr="001C0EBD">
        <w:rPr>
          <w:rFonts w:ascii="Verdana" w:hAnsi="Verdana" w:cs="Calibri"/>
          <w:sz w:val="22"/>
          <w:szCs w:val="22"/>
        </w:rPr>
        <w:t>N</w:t>
      </w:r>
      <w:r w:rsidRPr="001C0EBD">
        <w:rPr>
          <w:rFonts w:ascii="Verdana" w:hAnsi="Verdana" w:cs="Calibri"/>
          <w:sz w:val="22"/>
          <w:szCs w:val="22"/>
        </w:rPr>
        <w:t>aj omenimo, da v bližnji preteklosti to ni uspelo nekaterim tujim agencijam (na primer švedski), ki imajo veliko daljšo tradicijo delovanja v mednarodnem prostoru.</w:t>
      </w:r>
      <w:r w:rsidR="001C0EBD" w:rsidRPr="001C0EBD">
        <w:rPr>
          <w:rFonts w:ascii="Verdana" w:hAnsi="Verdana" w:cs="Calibri"/>
          <w:sz w:val="22"/>
          <w:szCs w:val="22"/>
        </w:rPr>
        <w:t xml:space="preserve"> Verjamem, da si bo tudi s tem</w:t>
      </w:r>
      <w:r w:rsidRPr="001C0EBD">
        <w:rPr>
          <w:rFonts w:ascii="Verdana" w:hAnsi="Verdana" w:cs="Calibri"/>
          <w:sz w:val="22"/>
          <w:szCs w:val="22"/>
        </w:rPr>
        <w:t xml:space="preserve"> dosežkom</w:t>
      </w:r>
      <w:r w:rsidR="00D41F74" w:rsidRPr="001C0EBD">
        <w:rPr>
          <w:rFonts w:ascii="Verdana" w:hAnsi="Verdana" w:cs="Calibri"/>
          <w:sz w:val="22"/>
          <w:szCs w:val="22"/>
        </w:rPr>
        <w:t xml:space="preserve">  pridobila </w:t>
      </w:r>
      <w:r w:rsidR="001C0EBD" w:rsidRPr="001C0EBD">
        <w:rPr>
          <w:rFonts w:ascii="Verdana" w:hAnsi="Verdana" w:cs="Calibri"/>
          <w:sz w:val="22"/>
          <w:szCs w:val="22"/>
        </w:rPr>
        <w:t xml:space="preserve">še </w:t>
      </w:r>
      <w:r w:rsidR="00D41F74" w:rsidRPr="001C0EBD">
        <w:rPr>
          <w:rFonts w:ascii="Verdana" w:hAnsi="Verdana" w:cs="Calibri"/>
          <w:sz w:val="22"/>
          <w:szCs w:val="22"/>
        </w:rPr>
        <w:t xml:space="preserve">večje zaupanje visokošolskih in višješolskih deležnikov in širše javnosti v svoje delo ter okrepila prepoznavnost v slovenskem prostoru. </w:t>
      </w:r>
    </w:p>
    <w:p w14:paraId="303FDF3A" w14:textId="77777777" w:rsidR="00D41F74" w:rsidRPr="001C0EBD" w:rsidRDefault="00D41F74" w:rsidP="00D41F74">
      <w:pPr>
        <w:pStyle w:val="Telobesedila"/>
        <w:widowControl w:val="0"/>
        <w:spacing w:after="0"/>
        <w:jc w:val="both"/>
        <w:rPr>
          <w:rFonts w:ascii="Verdana" w:hAnsi="Verdana" w:cs="Calibri"/>
          <w:sz w:val="22"/>
          <w:szCs w:val="22"/>
        </w:rPr>
      </w:pPr>
    </w:p>
    <w:p w14:paraId="385F1732" w14:textId="77777777" w:rsidR="003B3A91" w:rsidRDefault="003B3A91" w:rsidP="001F0B15">
      <w:pPr>
        <w:widowControl w:val="0"/>
        <w:spacing w:after="0" w:line="240" w:lineRule="auto"/>
        <w:jc w:val="both"/>
        <w:rPr>
          <w:rFonts w:ascii="Verdana" w:eastAsia="Cambria" w:hAnsi="Verdana" w:cs="Calibri"/>
        </w:rPr>
      </w:pPr>
    </w:p>
    <w:p w14:paraId="5914E867" w14:textId="59C8ACB5" w:rsidR="001F0B15" w:rsidRPr="001F0B15" w:rsidRDefault="001F0B15" w:rsidP="001F0B15">
      <w:pPr>
        <w:widowControl w:val="0"/>
        <w:spacing w:after="0" w:line="240" w:lineRule="auto"/>
        <w:jc w:val="both"/>
        <w:rPr>
          <w:rFonts w:ascii="Verdana" w:eastAsia="Cambria" w:hAnsi="Verdana" w:cs="Calibri"/>
        </w:rPr>
      </w:pPr>
      <w:r w:rsidRPr="001F0B15">
        <w:rPr>
          <w:rFonts w:ascii="Verdana" w:eastAsia="Cambria" w:hAnsi="Verdana" w:cs="Calibri"/>
        </w:rPr>
        <w:t xml:space="preserve">Številka: </w:t>
      </w:r>
      <w:r w:rsidR="008E6BA1">
        <w:rPr>
          <w:rFonts w:ascii="Verdana" w:eastAsia="Cambria" w:hAnsi="Verdana" w:cs="Calibri"/>
        </w:rPr>
        <w:t>029-1/2019/4</w:t>
      </w:r>
      <w:r w:rsidR="001C0EBD">
        <w:rPr>
          <w:rFonts w:ascii="Verdana" w:eastAsia="Cambria" w:hAnsi="Verdana" w:cs="Calibri"/>
        </w:rPr>
        <w:t xml:space="preserve">                                         Dr. Franci Demšar</w:t>
      </w:r>
    </w:p>
    <w:p w14:paraId="122492AF" w14:textId="2A72D38F" w:rsidR="001F0B15" w:rsidRPr="001F0B15" w:rsidRDefault="001F0B15" w:rsidP="001F0B15">
      <w:pPr>
        <w:widowControl w:val="0"/>
        <w:spacing w:after="0" w:line="240" w:lineRule="auto"/>
        <w:rPr>
          <w:rFonts w:ascii="Verdana" w:eastAsia="Cambria" w:hAnsi="Verdana" w:cs="Calibri"/>
        </w:rPr>
      </w:pPr>
      <w:r w:rsidRPr="001F0B15">
        <w:rPr>
          <w:rFonts w:ascii="Verdana" w:eastAsia="Cambria" w:hAnsi="Verdana" w:cs="Calibri"/>
        </w:rPr>
        <w:t xml:space="preserve">Datum: </w:t>
      </w:r>
      <w:r w:rsidR="00386C1E">
        <w:rPr>
          <w:rFonts w:ascii="Verdana" w:eastAsia="Cambria" w:hAnsi="Verdana" w:cs="Calibri"/>
        </w:rPr>
        <w:t xml:space="preserve">21. </w:t>
      </w:r>
      <w:r w:rsidR="00A83BF0">
        <w:rPr>
          <w:rFonts w:ascii="Verdana" w:eastAsia="Cambria" w:hAnsi="Verdana" w:cs="Calibri"/>
        </w:rPr>
        <w:t>februar</w:t>
      </w:r>
      <w:r w:rsidRPr="001F0B15">
        <w:rPr>
          <w:rFonts w:ascii="Verdana" w:eastAsia="Cambria" w:hAnsi="Verdana" w:cs="Calibri"/>
        </w:rPr>
        <w:t xml:space="preserve"> 201</w:t>
      </w:r>
      <w:r w:rsidR="00A83BF0">
        <w:rPr>
          <w:rFonts w:ascii="Verdana" w:eastAsia="Cambria" w:hAnsi="Verdana" w:cs="Calibri"/>
        </w:rPr>
        <w:t>9</w:t>
      </w:r>
      <w:r w:rsidR="001C0EBD">
        <w:rPr>
          <w:rFonts w:ascii="Verdana" w:eastAsia="Cambria" w:hAnsi="Verdana" w:cs="Calibri"/>
        </w:rPr>
        <w:t xml:space="preserve">                                              </w:t>
      </w:r>
      <w:bookmarkStart w:id="22" w:name="_GoBack"/>
      <w:bookmarkEnd w:id="22"/>
      <w:r w:rsidR="001C0EBD">
        <w:rPr>
          <w:rFonts w:ascii="Verdana" w:eastAsia="Cambria" w:hAnsi="Verdana" w:cs="Calibri"/>
        </w:rPr>
        <w:t xml:space="preserve"> Direktor</w:t>
      </w:r>
    </w:p>
    <w:p w14:paraId="201C0032" w14:textId="77777777" w:rsidR="00F43C9B" w:rsidRDefault="00F43C9B"/>
    <w:sectPr w:rsidR="00F43C9B" w:rsidSect="004653E1">
      <w:headerReference w:type="default" r:id="rId14"/>
      <w:footerReference w:type="default" r:id="rId15"/>
      <w:pgSz w:w="11906" w:h="16838" w:code="9"/>
      <w:pgMar w:top="567" w:right="1106" w:bottom="284" w:left="1418" w:header="360" w:footer="1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5825C" w14:textId="77777777" w:rsidR="00ED351D" w:rsidRDefault="00ED351D">
      <w:pPr>
        <w:spacing w:after="0" w:line="240" w:lineRule="auto"/>
      </w:pPr>
      <w:r>
        <w:separator/>
      </w:r>
    </w:p>
  </w:endnote>
  <w:endnote w:type="continuationSeparator" w:id="0">
    <w:p w14:paraId="6C44B51A" w14:textId="77777777" w:rsidR="00ED351D" w:rsidRDefault="00ED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E84B8" w14:textId="77777777" w:rsidR="00ED351D" w:rsidRDefault="00ED351D" w:rsidP="004653E1">
    <w:pPr>
      <w:pStyle w:val="Noga"/>
      <w:spacing w:after="0"/>
      <w:jc w:val="right"/>
      <w:rPr>
        <w:rFonts w:ascii="Verdana" w:hAnsi="Verdana"/>
        <w:sz w:val="20"/>
        <w:szCs w:val="20"/>
      </w:rPr>
    </w:pPr>
  </w:p>
  <w:p w14:paraId="3D067091" w14:textId="77777777" w:rsidR="00ED351D" w:rsidRPr="00E920F0" w:rsidRDefault="00ED351D">
    <w:pPr>
      <w:pStyle w:val="Noga"/>
      <w:jc w:val="right"/>
      <w:rPr>
        <w:rFonts w:ascii="Verdana" w:hAnsi="Verdana"/>
        <w:sz w:val="20"/>
        <w:szCs w:val="20"/>
      </w:rPr>
    </w:pPr>
    <w:r w:rsidRPr="00E920F0">
      <w:rPr>
        <w:rFonts w:ascii="Verdana" w:hAnsi="Verdana"/>
        <w:sz w:val="20"/>
        <w:szCs w:val="20"/>
      </w:rPr>
      <w:fldChar w:fldCharType="begin"/>
    </w:r>
    <w:r w:rsidRPr="00E920F0">
      <w:rPr>
        <w:rFonts w:ascii="Verdana" w:hAnsi="Verdana"/>
        <w:sz w:val="20"/>
        <w:szCs w:val="20"/>
      </w:rPr>
      <w:instrText xml:space="preserve"> PAGE   \* MERGEFORMAT </w:instrText>
    </w:r>
    <w:r w:rsidRPr="00E920F0">
      <w:rPr>
        <w:rFonts w:ascii="Verdana" w:hAnsi="Verdana"/>
        <w:sz w:val="20"/>
        <w:szCs w:val="20"/>
      </w:rPr>
      <w:fldChar w:fldCharType="separate"/>
    </w:r>
    <w:r w:rsidR="00386C1E">
      <w:rPr>
        <w:rFonts w:ascii="Verdana" w:hAnsi="Verdana"/>
        <w:noProof/>
        <w:sz w:val="20"/>
        <w:szCs w:val="20"/>
      </w:rPr>
      <w:t>24</w:t>
    </w:r>
    <w:r w:rsidRPr="00E920F0">
      <w:rPr>
        <w:rFonts w:ascii="Verdana" w:hAnsi="Verdana"/>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41F16" w14:textId="77777777" w:rsidR="00ED351D" w:rsidRDefault="00ED351D" w:rsidP="004653E1">
    <w:pPr>
      <w:pStyle w:val="Noga"/>
      <w:spacing w:after="0"/>
      <w:jc w:val="right"/>
      <w:rPr>
        <w:rFonts w:ascii="Verdana" w:hAnsi="Verdana"/>
        <w:sz w:val="20"/>
        <w:szCs w:val="20"/>
      </w:rPr>
    </w:pPr>
  </w:p>
  <w:p w14:paraId="13798E60" w14:textId="77777777" w:rsidR="00ED351D" w:rsidRPr="00E920F0" w:rsidRDefault="00ED351D">
    <w:pPr>
      <w:pStyle w:val="Noga"/>
      <w:jc w:val="right"/>
      <w:rPr>
        <w:rFonts w:ascii="Verdana" w:hAnsi="Verdana"/>
        <w:sz w:val="20"/>
        <w:szCs w:val="20"/>
      </w:rPr>
    </w:pPr>
    <w:r w:rsidRPr="00E920F0">
      <w:rPr>
        <w:rFonts w:ascii="Verdana" w:hAnsi="Verdana"/>
        <w:sz w:val="20"/>
        <w:szCs w:val="20"/>
      </w:rPr>
      <w:fldChar w:fldCharType="begin"/>
    </w:r>
    <w:r w:rsidRPr="00E920F0">
      <w:rPr>
        <w:rFonts w:ascii="Verdana" w:hAnsi="Verdana"/>
        <w:sz w:val="20"/>
        <w:szCs w:val="20"/>
      </w:rPr>
      <w:instrText xml:space="preserve"> PAGE   \* MERGEFORMAT </w:instrText>
    </w:r>
    <w:r w:rsidRPr="00E920F0">
      <w:rPr>
        <w:rFonts w:ascii="Verdana" w:hAnsi="Verdana"/>
        <w:sz w:val="20"/>
        <w:szCs w:val="20"/>
      </w:rPr>
      <w:fldChar w:fldCharType="separate"/>
    </w:r>
    <w:r w:rsidR="00386C1E">
      <w:rPr>
        <w:rFonts w:ascii="Verdana" w:hAnsi="Verdana"/>
        <w:noProof/>
        <w:sz w:val="20"/>
        <w:szCs w:val="20"/>
      </w:rPr>
      <w:t>42</w:t>
    </w:r>
    <w:r w:rsidRPr="00E920F0">
      <w:rPr>
        <w:rFonts w:ascii="Verdana" w:hAnsi="Verdan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C155" w14:textId="77777777" w:rsidR="00ED351D" w:rsidRDefault="00ED351D" w:rsidP="0020566B">
    <w:pPr>
      <w:pStyle w:val="Noga"/>
      <w:spacing w:after="0"/>
      <w:jc w:val="right"/>
      <w:rPr>
        <w:rFonts w:ascii="Verdana" w:hAnsi="Verdana"/>
        <w:sz w:val="20"/>
        <w:szCs w:val="20"/>
      </w:rPr>
    </w:pPr>
  </w:p>
  <w:p w14:paraId="1C36B00D" w14:textId="77777777" w:rsidR="00ED351D" w:rsidRPr="00E920F0" w:rsidRDefault="00ED351D">
    <w:pPr>
      <w:pStyle w:val="Noga"/>
      <w:jc w:val="right"/>
      <w:rPr>
        <w:rFonts w:ascii="Verdana" w:hAnsi="Verdana"/>
        <w:sz w:val="20"/>
        <w:szCs w:val="20"/>
      </w:rPr>
    </w:pPr>
    <w:r w:rsidRPr="00E920F0">
      <w:rPr>
        <w:rFonts w:ascii="Verdana" w:hAnsi="Verdana"/>
        <w:sz w:val="20"/>
        <w:szCs w:val="20"/>
      </w:rPr>
      <w:fldChar w:fldCharType="begin"/>
    </w:r>
    <w:r w:rsidRPr="00E920F0">
      <w:rPr>
        <w:rFonts w:ascii="Verdana" w:hAnsi="Verdana"/>
        <w:sz w:val="20"/>
        <w:szCs w:val="20"/>
      </w:rPr>
      <w:instrText xml:space="preserve"> PAGE   \* MERGEFORMAT </w:instrText>
    </w:r>
    <w:r w:rsidRPr="00E920F0">
      <w:rPr>
        <w:rFonts w:ascii="Verdana" w:hAnsi="Verdana"/>
        <w:sz w:val="20"/>
        <w:szCs w:val="20"/>
      </w:rPr>
      <w:fldChar w:fldCharType="separate"/>
    </w:r>
    <w:r w:rsidR="00386C1E">
      <w:rPr>
        <w:rFonts w:ascii="Verdana" w:hAnsi="Verdana"/>
        <w:noProof/>
        <w:sz w:val="20"/>
        <w:szCs w:val="20"/>
      </w:rPr>
      <w:t>49</w:t>
    </w:r>
    <w:r w:rsidRPr="00E920F0">
      <w:rPr>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06A41" w14:textId="77777777" w:rsidR="00ED351D" w:rsidRDefault="00ED351D">
      <w:pPr>
        <w:spacing w:after="0" w:line="240" w:lineRule="auto"/>
      </w:pPr>
      <w:r>
        <w:separator/>
      </w:r>
    </w:p>
  </w:footnote>
  <w:footnote w:type="continuationSeparator" w:id="0">
    <w:p w14:paraId="5FC5F601" w14:textId="77777777" w:rsidR="00ED351D" w:rsidRDefault="00ED3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91199" w14:textId="77777777" w:rsidR="00ED351D" w:rsidRDefault="00ED351D">
    <w:pPr>
      <w:pStyle w:val="Glava"/>
    </w:pPr>
    <w:r>
      <w:rPr>
        <w:noProof/>
        <w:lang w:eastAsia="sl-SI"/>
      </w:rPr>
      <w:drawing>
        <wp:inline distT="0" distB="0" distL="0" distR="0" wp14:anchorId="108BABE6" wp14:editId="594E50FF">
          <wp:extent cx="2356485" cy="1377315"/>
          <wp:effectExtent l="0" t="0" r="5715" b="0"/>
          <wp:docPr id="6" name="Slika 1"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85" cy="13773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C6281" w14:textId="77777777" w:rsidR="00ED351D" w:rsidRDefault="00ED351D">
    <w:pPr>
      <w:pStyle w:val="Glava"/>
    </w:pPr>
    <w:r>
      <w:rPr>
        <w:noProof/>
        <w:lang w:eastAsia="sl-SI"/>
      </w:rPr>
      <w:drawing>
        <wp:inline distT="0" distB="0" distL="0" distR="0" wp14:anchorId="72455855" wp14:editId="695AA558">
          <wp:extent cx="2356485" cy="1377315"/>
          <wp:effectExtent l="0" t="0" r="5715" b="0"/>
          <wp:docPr id="7" name="Slika 1"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85" cy="13773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83A42" w14:textId="78CC052B" w:rsidR="00ED351D" w:rsidRDefault="00ED351D">
    <w:pPr>
      <w:pStyle w:val="Glava"/>
    </w:pPr>
    <w:r>
      <w:rPr>
        <w:noProof/>
        <w:lang w:eastAsia="sl-SI"/>
      </w:rPr>
      <w:drawing>
        <wp:inline distT="0" distB="0" distL="0" distR="0" wp14:anchorId="27ED1DAD" wp14:editId="3F1A8E25">
          <wp:extent cx="2362200" cy="1371600"/>
          <wp:effectExtent l="0" t="0" r="0" b="0"/>
          <wp:docPr id="2" name="Slika 1"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DD1"/>
    <w:multiLevelType w:val="hybridMultilevel"/>
    <w:tmpl w:val="83421512"/>
    <w:lvl w:ilvl="0" w:tplc="A9464B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D36BBD"/>
    <w:multiLevelType w:val="hybridMultilevel"/>
    <w:tmpl w:val="20F6D600"/>
    <w:lvl w:ilvl="0" w:tplc="A9464B5C">
      <w:start w:val="1"/>
      <w:numFmt w:val="bullet"/>
      <w:lvlText w:val=""/>
      <w:lvlJc w:val="left"/>
      <w:pPr>
        <w:ind w:left="795" w:hanging="360"/>
      </w:pPr>
      <w:rPr>
        <w:rFonts w:ascii="Symbol" w:hAnsi="Symbol"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2">
    <w:nsid w:val="0C524D42"/>
    <w:multiLevelType w:val="hybridMultilevel"/>
    <w:tmpl w:val="56241C7A"/>
    <w:lvl w:ilvl="0" w:tplc="A9464B5C">
      <w:start w:val="1"/>
      <w:numFmt w:val="bullet"/>
      <w:lvlText w:val=""/>
      <w:lvlJc w:val="left"/>
      <w:pPr>
        <w:ind w:left="795" w:hanging="360"/>
      </w:pPr>
      <w:rPr>
        <w:rFonts w:ascii="Symbol" w:hAnsi="Symbol"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3">
    <w:nsid w:val="0C5370F0"/>
    <w:multiLevelType w:val="hybridMultilevel"/>
    <w:tmpl w:val="9D02FB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025C09"/>
    <w:multiLevelType w:val="hybridMultilevel"/>
    <w:tmpl w:val="29CE1DEA"/>
    <w:lvl w:ilvl="0" w:tplc="4498D558">
      <w:start w:val="1000"/>
      <w:numFmt w:val="bullet"/>
      <w:lvlText w:val="−"/>
      <w:lvlJc w:val="left"/>
      <w:pPr>
        <w:ind w:left="720" w:hanging="360"/>
      </w:pPr>
      <w:rPr>
        <w:rFonts w:ascii="Calibri" w:eastAsia="Cambria"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080131E"/>
    <w:multiLevelType w:val="hybridMultilevel"/>
    <w:tmpl w:val="30D6F0AA"/>
    <w:lvl w:ilvl="0" w:tplc="A9464B5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71F193D"/>
    <w:multiLevelType w:val="hybridMultilevel"/>
    <w:tmpl w:val="201C5DDA"/>
    <w:lvl w:ilvl="0" w:tplc="CDA81E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92644EB"/>
    <w:multiLevelType w:val="hybridMultilevel"/>
    <w:tmpl w:val="68BA4274"/>
    <w:lvl w:ilvl="0" w:tplc="A9464B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93E79CF"/>
    <w:multiLevelType w:val="hybridMultilevel"/>
    <w:tmpl w:val="FF5AE13A"/>
    <w:lvl w:ilvl="0" w:tplc="A9464B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CBB406C"/>
    <w:multiLevelType w:val="hybridMultilevel"/>
    <w:tmpl w:val="428A28F8"/>
    <w:lvl w:ilvl="0" w:tplc="A9464B5C">
      <w:start w:val="1"/>
      <w:numFmt w:val="bullet"/>
      <w:lvlText w:val=""/>
      <w:lvlJc w:val="left"/>
      <w:pPr>
        <w:tabs>
          <w:tab w:val="num" w:pos="791"/>
        </w:tabs>
        <w:ind w:left="791" w:hanging="360"/>
      </w:pPr>
      <w:rPr>
        <w:rFonts w:ascii="Symbol" w:hAnsi="Symbol" w:hint="default"/>
      </w:rPr>
    </w:lvl>
    <w:lvl w:ilvl="1" w:tplc="04240003" w:tentative="1">
      <w:start w:val="1"/>
      <w:numFmt w:val="bullet"/>
      <w:lvlText w:val="o"/>
      <w:lvlJc w:val="left"/>
      <w:pPr>
        <w:tabs>
          <w:tab w:val="num" w:pos="1511"/>
        </w:tabs>
        <w:ind w:left="1511" w:hanging="360"/>
      </w:pPr>
      <w:rPr>
        <w:rFonts w:ascii="Courier New" w:hAnsi="Courier New" w:cs="Courier New" w:hint="default"/>
      </w:rPr>
    </w:lvl>
    <w:lvl w:ilvl="2" w:tplc="04240005" w:tentative="1">
      <w:start w:val="1"/>
      <w:numFmt w:val="bullet"/>
      <w:lvlText w:val=""/>
      <w:lvlJc w:val="left"/>
      <w:pPr>
        <w:tabs>
          <w:tab w:val="num" w:pos="2231"/>
        </w:tabs>
        <w:ind w:left="2231" w:hanging="360"/>
      </w:pPr>
      <w:rPr>
        <w:rFonts w:ascii="Wingdings" w:hAnsi="Wingdings" w:hint="default"/>
      </w:rPr>
    </w:lvl>
    <w:lvl w:ilvl="3" w:tplc="04240001" w:tentative="1">
      <w:start w:val="1"/>
      <w:numFmt w:val="bullet"/>
      <w:lvlText w:val=""/>
      <w:lvlJc w:val="left"/>
      <w:pPr>
        <w:tabs>
          <w:tab w:val="num" w:pos="2951"/>
        </w:tabs>
        <w:ind w:left="2951" w:hanging="360"/>
      </w:pPr>
      <w:rPr>
        <w:rFonts w:ascii="Symbol" w:hAnsi="Symbol" w:hint="default"/>
      </w:rPr>
    </w:lvl>
    <w:lvl w:ilvl="4" w:tplc="04240003" w:tentative="1">
      <w:start w:val="1"/>
      <w:numFmt w:val="bullet"/>
      <w:lvlText w:val="o"/>
      <w:lvlJc w:val="left"/>
      <w:pPr>
        <w:tabs>
          <w:tab w:val="num" w:pos="3671"/>
        </w:tabs>
        <w:ind w:left="3671" w:hanging="360"/>
      </w:pPr>
      <w:rPr>
        <w:rFonts w:ascii="Courier New" w:hAnsi="Courier New" w:cs="Courier New" w:hint="default"/>
      </w:rPr>
    </w:lvl>
    <w:lvl w:ilvl="5" w:tplc="04240005" w:tentative="1">
      <w:start w:val="1"/>
      <w:numFmt w:val="bullet"/>
      <w:lvlText w:val=""/>
      <w:lvlJc w:val="left"/>
      <w:pPr>
        <w:tabs>
          <w:tab w:val="num" w:pos="4391"/>
        </w:tabs>
        <w:ind w:left="4391" w:hanging="360"/>
      </w:pPr>
      <w:rPr>
        <w:rFonts w:ascii="Wingdings" w:hAnsi="Wingdings" w:hint="default"/>
      </w:rPr>
    </w:lvl>
    <w:lvl w:ilvl="6" w:tplc="04240001" w:tentative="1">
      <w:start w:val="1"/>
      <w:numFmt w:val="bullet"/>
      <w:lvlText w:val=""/>
      <w:lvlJc w:val="left"/>
      <w:pPr>
        <w:tabs>
          <w:tab w:val="num" w:pos="5111"/>
        </w:tabs>
        <w:ind w:left="5111" w:hanging="360"/>
      </w:pPr>
      <w:rPr>
        <w:rFonts w:ascii="Symbol" w:hAnsi="Symbol" w:hint="default"/>
      </w:rPr>
    </w:lvl>
    <w:lvl w:ilvl="7" w:tplc="04240003" w:tentative="1">
      <w:start w:val="1"/>
      <w:numFmt w:val="bullet"/>
      <w:lvlText w:val="o"/>
      <w:lvlJc w:val="left"/>
      <w:pPr>
        <w:tabs>
          <w:tab w:val="num" w:pos="5831"/>
        </w:tabs>
        <w:ind w:left="5831" w:hanging="360"/>
      </w:pPr>
      <w:rPr>
        <w:rFonts w:ascii="Courier New" w:hAnsi="Courier New" w:cs="Courier New" w:hint="default"/>
      </w:rPr>
    </w:lvl>
    <w:lvl w:ilvl="8" w:tplc="04240005" w:tentative="1">
      <w:start w:val="1"/>
      <w:numFmt w:val="bullet"/>
      <w:lvlText w:val=""/>
      <w:lvlJc w:val="left"/>
      <w:pPr>
        <w:tabs>
          <w:tab w:val="num" w:pos="6551"/>
        </w:tabs>
        <w:ind w:left="6551" w:hanging="360"/>
      </w:pPr>
      <w:rPr>
        <w:rFonts w:ascii="Wingdings" w:hAnsi="Wingdings" w:hint="default"/>
      </w:rPr>
    </w:lvl>
  </w:abstractNum>
  <w:abstractNum w:abstractNumId="10">
    <w:nsid w:val="30683E45"/>
    <w:multiLevelType w:val="hybridMultilevel"/>
    <w:tmpl w:val="6728E2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5623C89"/>
    <w:multiLevelType w:val="hybridMultilevel"/>
    <w:tmpl w:val="F9942F34"/>
    <w:lvl w:ilvl="0" w:tplc="9E72E84A">
      <w:start w:val="1"/>
      <w:numFmt w:val="bullet"/>
      <w:lvlText w:val=""/>
      <w:lvlJc w:val="left"/>
      <w:pPr>
        <w:ind w:left="789" w:hanging="360"/>
      </w:pPr>
      <w:rPr>
        <w:rFonts w:ascii="Symbol" w:hAnsi="Symbol" w:hint="default"/>
      </w:rPr>
    </w:lvl>
    <w:lvl w:ilvl="1" w:tplc="04240003" w:tentative="1">
      <w:start w:val="1"/>
      <w:numFmt w:val="bullet"/>
      <w:lvlText w:val="o"/>
      <w:lvlJc w:val="left"/>
      <w:pPr>
        <w:ind w:left="1509" w:hanging="360"/>
      </w:pPr>
      <w:rPr>
        <w:rFonts w:ascii="Courier New" w:hAnsi="Courier New" w:cs="Courier New" w:hint="default"/>
      </w:rPr>
    </w:lvl>
    <w:lvl w:ilvl="2" w:tplc="04240005" w:tentative="1">
      <w:start w:val="1"/>
      <w:numFmt w:val="bullet"/>
      <w:lvlText w:val=""/>
      <w:lvlJc w:val="left"/>
      <w:pPr>
        <w:ind w:left="2229" w:hanging="360"/>
      </w:pPr>
      <w:rPr>
        <w:rFonts w:ascii="Wingdings" w:hAnsi="Wingdings" w:hint="default"/>
      </w:rPr>
    </w:lvl>
    <w:lvl w:ilvl="3" w:tplc="04240001" w:tentative="1">
      <w:start w:val="1"/>
      <w:numFmt w:val="bullet"/>
      <w:lvlText w:val=""/>
      <w:lvlJc w:val="left"/>
      <w:pPr>
        <w:ind w:left="2949" w:hanging="360"/>
      </w:pPr>
      <w:rPr>
        <w:rFonts w:ascii="Symbol" w:hAnsi="Symbol" w:hint="default"/>
      </w:rPr>
    </w:lvl>
    <w:lvl w:ilvl="4" w:tplc="04240003" w:tentative="1">
      <w:start w:val="1"/>
      <w:numFmt w:val="bullet"/>
      <w:lvlText w:val="o"/>
      <w:lvlJc w:val="left"/>
      <w:pPr>
        <w:ind w:left="3669" w:hanging="360"/>
      </w:pPr>
      <w:rPr>
        <w:rFonts w:ascii="Courier New" w:hAnsi="Courier New" w:cs="Courier New" w:hint="default"/>
      </w:rPr>
    </w:lvl>
    <w:lvl w:ilvl="5" w:tplc="04240005" w:tentative="1">
      <w:start w:val="1"/>
      <w:numFmt w:val="bullet"/>
      <w:lvlText w:val=""/>
      <w:lvlJc w:val="left"/>
      <w:pPr>
        <w:ind w:left="4389" w:hanging="360"/>
      </w:pPr>
      <w:rPr>
        <w:rFonts w:ascii="Wingdings" w:hAnsi="Wingdings" w:hint="default"/>
      </w:rPr>
    </w:lvl>
    <w:lvl w:ilvl="6" w:tplc="04240001" w:tentative="1">
      <w:start w:val="1"/>
      <w:numFmt w:val="bullet"/>
      <w:lvlText w:val=""/>
      <w:lvlJc w:val="left"/>
      <w:pPr>
        <w:ind w:left="5109" w:hanging="360"/>
      </w:pPr>
      <w:rPr>
        <w:rFonts w:ascii="Symbol" w:hAnsi="Symbol" w:hint="default"/>
      </w:rPr>
    </w:lvl>
    <w:lvl w:ilvl="7" w:tplc="04240003" w:tentative="1">
      <w:start w:val="1"/>
      <w:numFmt w:val="bullet"/>
      <w:lvlText w:val="o"/>
      <w:lvlJc w:val="left"/>
      <w:pPr>
        <w:ind w:left="5829" w:hanging="360"/>
      </w:pPr>
      <w:rPr>
        <w:rFonts w:ascii="Courier New" w:hAnsi="Courier New" w:cs="Courier New" w:hint="default"/>
      </w:rPr>
    </w:lvl>
    <w:lvl w:ilvl="8" w:tplc="04240005" w:tentative="1">
      <w:start w:val="1"/>
      <w:numFmt w:val="bullet"/>
      <w:lvlText w:val=""/>
      <w:lvlJc w:val="left"/>
      <w:pPr>
        <w:ind w:left="6549" w:hanging="360"/>
      </w:pPr>
      <w:rPr>
        <w:rFonts w:ascii="Wingdings" w:hAnsi="Wingdings" w:hint="default"/>
      </w:rPr>
    </w:lvl>
  </w:abstractNum>
  <w:abstractNum w:abstractNumId="12">
    <w:nsid w:val="35843E68"/>
    <w:multiLevelType w:val="hybridMultilevel"/>
    <w:tmpl w:val="7F2E717C"/>
    <w:lvl w:ilvl="0" w:tplc="CDA81ED6">
      <w:start w:val="1"/>
      <w:numFmt w:val="bullet"/>
      <w:lvlText w:val=""/>
      <w:lvlJc w:val="left"/>
      <w:pPr>
        <w:ind w:left="108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6232654"/>
    <w:multiLevelType w:val="hybridMultilevel"/>
    <w:tmpl w:val="1D9E7AEA"/>
    <w:lvl w:ilvl="0" w:tplc="A9464B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84C6F8A"/>
    <w:multiLevelType w:val="hybridMultilevel"/>
    <w:tmpl w:val="FB34AE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3B60154F"/>
    <w:multiLevelType w:val="hybridMultilevel"/>
    <w:tmpl w:val="C03087DE"/>
    <w:lvl w:ilvl="0" w:tplc="F8EE62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EB85E30"/>
    <w:multiLevelType w:val="hybridMultilevel"/>
    <w:tmpl w:val="520ABC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33870C5"/>
    <w:multiLevelType w:val="hybridMultilevel"/>
    <w:tmpl w:val="04A0E404"/>
    <w:lvl w:ilvl="0" w:tplc="A9464B5C">
      <w:start w:val="1"/>
      <w:numFmt w:val="bullet"/>
      <w:lvlText w:val=""/>
      <w:lvlJc w:val="left"/>
      <w:pPr>
        <w:tabs>
          <w:tab w:val="num" w:pos="720"/>
        </w:tabs>
        <w:ind w:left="720" w:hanging="360"/>
      </w:pPr>
      <w:rPr>
        <w:rFonts w:ascii="Symbol" w:hAnsi="Symbol" w:hint="default"/>
      </w:rPr>
    </w:lvl>
    <w:lvl w:ilvl="1" w:tplc="A9464B5C">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455B6C5F"/>
    <w:multiLevelType w:val="hybridMultilevel"/>
    <w:tmpl w:val="AEE07848"/>
    <w:lvl w:ilvl="0" w:tplc="51548C58">
      <w:numFmt w:val="bullet"/>
      <w:lvlText w:val=""/>
      <w:lvlJc w:val="left"/>
      <w:pPr>
        <w:ind w:left="720" w:hanging="360"/>
      </w:pPr>
      <w:rPr>
        <w:rFonts w:ascii="Symbol" w:eastAsia="Cambria"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69457EF"/>
    <w:multiLevelType w:val="hybridMultilevel"/>
    <w:tmpl w:val="8E3AD7A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6AC659B"/>
    <w:multiLevelType w:val="hybridMultilevel"/>
    <w:tmpl w:val="40CAEC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8616401"/>
    <w:multiLevelType w:val="hybridMultilevel"/>
    <w:tmpl w:val="7436A6FE"/>
    <w:lvl w:ilvl="0" w:tplc="A9464B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ABE1C6E"/>
    <w:multiLevelType w:val="hybridMultilevel"/>
    <w:tmpl w:val="82161062"/>
    <w:lvl w:ilvl="0" w:tplc="4498D558">
      <w:start w:val="1000"/>
      <w:numFmt w:val="bullet"/>
      <w:lvlText w:val="−"/>
      <w:lvlJc w:val="left"/>
      <w:pPr>
        <w:ind w:left="720" w:hanging="360"/>
      </w:pPr>
      <w:rPr>
        <w:rFonts w:ascii="Calibri" w:eastAsia="Cambria"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B3F6C00"/>
    <w:multiLevelType w:val="multilevel"/>
    <w:tmpl w:val="1054E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D4921B3"/>
    <w:multiLevelType w:val="hybridMultilevel"/>
    <w:tmpl w:val="347E1828"/>
    <w:lvl w:ilvl="0" w:tplc="CDA81E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FC757D7"/>
    <w:multiLevelType w:val="hybridMultilevel"/>
    <w:tmpl w:val="2474B8B4"/>
    <w:lvl w:ilvl="0" w:tplc="EC2CD4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06F7C2F"/>
    <w:multiLevelType w:val="hybridMultilevel"/>
    <w:tmpl w:val="99C0E228"/>
    <w:lvl w:ilvl="0" w:tplc="64EC36D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2317194"/>
    <w:multiLevelType w:val="hybridMultilevel"/>
    <w:tmpl w:val="F0CEC90A"/>
    <w:lvl w:ilvl="0" w:tplc="A9464B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29030A7"/>
    <w:multiLevelType w:val="multilevel"/>
    <w:tmpl w:val="43C2B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55167DFC"/>
    <w:multiLevelType w:val="hybridMultilevel"/>
    <w:tmpl w:val="24B80298"/>
    <w:lvl w:ilvl="0" w:tplc="0A70C048">
      <w:numFmt w:val="bullet"/>
      <w:lvlText w:val="-"/>
      <w:lvlJc w:val="left"/>
      <w:pPr>
        <w:ind w:left="720" w:hanging="360"/>
      </w:pPr>
      <w:rPr>
        <w:rFonts w:ascii="Verdana" w:eastAsiaTheme="minorHAnsi" w:hAnsi="Verdana" w:cstheme="minorBidi"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7E64944"/>
    <w:multiLevelType w:val="hybridMultilevel"/>
    <w:tmpl w:val="FB5CA6DC"/>
    <w:lvl w:ilvl="0" w:tplc="E744B1C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C851294"/>
    <w:multiLevelType w:val="hybridMultilevel"/>
    <w:tmpl w:val="F26833E8"/>
    <w:lvl w:ilvl="0" w:tplc="A9464B5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F5752E2"/>
    <w:multiLevelType w:val="hybridMultilevel"/>
    <w:tmpl w:val="E8C68C7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0A25FFD"/>
    <w:multiLevelType w:val="hybridMultilevel"/>
    <w:tmpl w:val="E6E0D7C0"/>
    <w:lvl w:ilvl="0" w:tplc="A9464B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3C12922"/>
    <w:multiLevelType w:val="hybridMultilevel"/>
    <w:tmpl w:val="59268A24"/>
    <w:lvl w:ilvl="0" w:tplc="A9464B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96E7625"/>
    <w:multiLevelType w:val="hybridMultilevel"/>
    <w:tmpl w:val="776846AA"/>
    <w:lvl w:ilvl="0" w:tplc="4498D558">
      <w:start w:val="1000"/>
      <w:numFmt w:val="bullet"/>
      <w:lvlText w:val="−"/>
      <w:lvlJc w:val="left"/>
      <w:pPr>
        <w:ind w:left="720" w:hanging="360"/>
      </w:pPr>
      <w:rPr>
        <w:rFonts w:ascii="Calibri" w:eastAsia="Cambria"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A336750"/>
    <w:multiLevelType w:val="hybridMultilevel"/>
    <w:tmpl w:val="45821E5A"/>
    <w:lvl w:ilvl="0" w:tplc="A9464B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A964505"/>
    <w:multiLevelType w:val="hybridMultilevel"/>
    <w:tmpl w:val="CFC8E3F6"/>
    <w:lvl w:ilvl="0" w:tplc="16FADDA6">
      <w:start w:val="1"/>
      <w:numFmt w:val="bullet"/>
      <w:lvlText w:val="-"/>
      <w:lvlJc w:val="left"/>
      <w:pPr>
        <w:ind w:left="720" w:hanging="360"/>
      </w:pPr>
      <w:rPr>
        <w:rFonts w:ascii="Verdana" w:eastAsia="Times New Roman"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C4562E2"/>
    <w:multiLevelType w:val="hybridMultilevel"/>
    <w:tmpl w:val="9434267C"/>
    <w:lvl w:ilvl="0" w:tplc="CDA81ED6">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9">
    <w:nsid w:val="6D010A9B"/>
    <w:multiLevelType w:val="hybridMultilevel"/>
    <w:tmpl w:val="6E8A19E8"/>
    <w:lvl w:ilvl="0" w:tplc="4498D558">
      <w:start w:val="1000"/>
      <w:numFmt w:val="bullet"/>
      <w:lvlText w:val="−"/>
      <w:lvlJc w:val="left"/>
      <w:pPr>
        <w:ind w:left="720" w:hanging="360"/>
      </w:pPr>
      <w:rPr>
        <w:rFonts w:ascii="Calibri" w:eastAsia="Cambria"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E7A1157"/>
    <w:multiLevelType w:val="hybridMultilevel"/>
    <w:tmpl w:val="D24EA894"/>
    <w:lvl w:ilvl="0" w:tplc="FDAC69D0">
      <w:start w:val="1"/>
      <w:numFmt w:val="bullet"/>
      <w:lvlText w:val="-"/>
      <w:lvlJc w:val="left"/>
      <w:pPr>
        <w:ind w:left="720" w:hanging="360"/>
      </w:pPr>
      <w:rPr>
        <w:rFonts w:ascii="Verdana" w:eastAsia="Cambria"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23116DA"/>
    <w:multiLevelType w:val="hybridMultilevel"/>
    <w:tmpl w:val="B5809A5E"/>
    <w:lvl w:ilvl="0" w:tplc="4498D558">
      <w:start w:val="1000"/>
      <w:numFmt w:val="bullet"/>
      <w:lvlText w:val="−"/>
      <w:lvlJc w:val="left"/>
      <w:pPr>
        <w:ind w:left="720" w:hanging="360"/>
      </w:pPr>
      <w:rPr>
        <w:rFonts w:ascii="Calibri" w:eastAsia="Cambria"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50C2F19"/>
    <w:multiLevelType w:val="hybridMultilevel"/>
    <w:tmpl w:val="841E1B86"/>
    <w:lvl w:ilvl="0" w:tplc="4B5A2024">
      <w:start w:val="125"/>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68362E0"/>
    <w:multiLevelType w:val="hybridMultilevel"/>
    <w:tmpl w:val="FF6A4CF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B4E2B8C"/>
    <w:multiLevelType w:val="hybridMultilevel"/>
    <w:tmpl w:val="92E4CDB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CA4010B"/>
    <w:multiLevelType w:val="hybridMultilevel"/>
    <w:tmpl w:val="56D4838A"/>
    <w:lvl w:ilvl="0" w:tplc="A9464B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E8457DD"/>
    <w:multiLevelType w:val="hybridMultilevel"/>
    <w:tmpl w:val="F2F061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F95458A"/>
    <w:multiLevelType w:val="hybridMultilevel"/>
    <w:tmpl w:val="05D2B0D2"/>
    <w:lvl w:ilvl="0" w:tplc="A9464B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24"/>
  </w:num>
  <w:num w:numId="3">
    <w:abstractNumId w:val="12"/>
  </w:num>
  <w:num w:numId="4">
    <w:abstractNumId w:val="25"/>
  </w:num>
  <w:num w:numId="5">
    <w:abstractNumId w:val="11"/>
  </w:num>
  <w:num w:numId="6">
    <w:abstractNumId w:val="19"/>
  </w:num>
  <w:num w:numId="7">
    <w:abstractNumId w:val="6"/>
  </w:num>
  <w:num w:numId="8">
    <w:abstractNumId w:val="38"/>
  </w:num>
  <w:num w:numId="9">
    <w:abstractNumId w:val="44"/>
  </w:num>
  <w:num w:numId="10">
    <w:abstractNumId w:val="32"/>
  </w:num>
  <w:num w:numId="11">
    <w:abstractNumId w:val="43"/>
  </w:num>
  <w:num w:numId="12">
    <w:abstractNumId w:val="31"/>
  </w:num>
  <w:num w:numId="13">
    <w:abstractNumId w:val="15"/>
  </w:num>
  <w:num w:numId="14">
    <w:abstractNumId w:val="22"/>
  </w:num>
  <w:num w:numId="15">
    <w:abstractNumId w:val="33"/>
  </w:num>
  <w:num w:numId="16">
    <w:abstractNumId w:val="45"/>
  </w:num>
  <w:num w:numId="17">
    <w:abstractNumId w:val="7"/>
  </w:num>
  <w:num w:numId="18">
    <w:abstractNumId w:val="36"/>
  </w:num>
  <w:num w:numId="19">
    <w:abstractNumId w:val="16"/>
  </w:num>
  <w:num w:numId="20">
    <w:abstractNumId w:val="20"/>
  </w:num>
  <w:num w:numId="21">
    <w:abstractNumId w:val="26"/>
  </w:num>
  <w:num w:numId="22">
    <w:abstractNumId w:val="37"/>
  </w:num>
  <w:num w:numId="23">
    <w:abstractNumId w:val="30"/>
  </w:num>
  <w:num w:numId="24">
    <w:abstractNumId w:val="2"/>
  </w:num>
  <w:num w:numId="25">
    <w:abstractNumId w:val="1"/>
  </w:num>
  <w:num w:numId="26">
    <w:abstractNumId w:val="3"/>
  </w:num>
  <w:num w:numId="27">
    <w:abstractNumId w:val="14"/>
  </w:num>
  <w:num w:numId="28">
    <w:abstractNumId w:val="35"/>
  </w:num>
  <w:num w:numId="29">
    <w:abstractNumId w:val="39"/>
  </w:num>
  <w:num w:numId="30">
    <w:abstractNumId w:val="4"/>
  </w:num>
  <w:num w:numId="31">
    <w:abstractNumId w:val="17"/>
  </w:num>
  <w:num w:numId="32">
    <w:abstractNumId w:val="9"/>
  </w:num>
  <w:num w:numId="33">
    <w:abstractNumId w:val="23"/>
  </w:num>
  <w:num w:numId="34">
    <w:abstractNumId w:val="28"/>
  </w:num>
  <w:num w:numId="35">
    <w:abstractNumId w:val="18"/>
  </w:num>
  <w:num w:numId="36">
    <w:abstractNumId w:val="0"/>
  </w:num>
  <w:num w:numId="37">
    <w:abstractNumId w:val="10"/>
  </w:num>
  <w:num w:numId="38">
    <w:abstractNumId w:val="27"/>
  </w:num>
  <w:num w:numId="39">
    <w:abstractNumId w:val="8"/>
  </w:num>
  <w:num w:numId="40">
    <w:abstractNumId w:val="46"/>
  </w:num>
  <w:num w:numId="41">
    <w:abstractNumId w:val="13"/>
  </w:num>
  <w:num w:numId="42">
    <w:abstractNumId w:val="41"/>
  </w:num>
  <w:num w:numId="43">
    <w:abstractNumId w:val="29"/>
  </w:num>
  <w:num w:numId="44">
    <w:abstractNumId w:val="42"/>
  </w:num>
  <w:num w:numId="45">
    <w:abstractNumId w:val="21"/>
  </w:num>
  <w:num w:numId="46">
    <w:abstractNumId w:val="5"/>
  </w:num>
  <w:num w:numId="47">
    <w:abstractNumId w:val="34"/>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E9"/>
    <w:rsid w:val="0000009E"/>
    <w:rsid w:val="00003330"/>
    <w:rsid w:val="00005B77"/>
    <w:rsid w:val="00007C8F"/>
    <w:rsid w:val="000140EA"/>
    <w:rsid w:val="00033910"/>
    <w:rsid w:val="00037416"/>
    <w:rsid w:val="00042E84"/>
    <w:rsid w:val="00065132"/>
    <w:rsid w:val="0006581E"/>
    <w:rsid w:val="000663EE"/>
    <w:rsid w:val="000804E0"/>
    <w:rsid w:val="00082164"/>
    <w:rsid w:val="00084638"/>
    <w:rsid w:val="000A663A"/>
    <w:rsid w:val="000A7D11"/>
    <w:rsid w:val="000B0CCE"/>
    <w:rsid w:val="000B53B8"/>
    <w:rsid w:val="000C09B3"/>
    <w:rsid w:val="000C6F9E"/>
    <w:rsid w:val="000D23BE"/>
    <w:rsid w:val="00122A06"/>
    <w:rsid w:val="00123BE5"/>
    <w:rsid w:val="00135D26"/>
    <w:rsid w:val="0014336C"/>
    <w:rsid w:val="0016349C"/>
    <w:rsid w:val="00167CAB"/>
    <w:rsid w:val="001803E8"/>
    <w:rsid w:val="00192650"/>
    <w:rsid w:val="00195D3B"/>
    <w:rsid w:val="001B3E36"/>
    <w:rsid w:val="001C05E5"/>
    <w:rsid w:val="001C0EBD"/>
    <w:rsid w:val="001C3F01"/>
    <w:rsid w:val="001D47AF"/>
    <w:rsid w:val="001D50DD"/>
    <w:rsid w:val="001E07DE"/>
    <w:rsid w:val="001E7AA3"/>
    <w:rsid w:val="001F0B15"/>
    <w:rsid w:val="00200B13"/>
    <w:rsid w:val="0020110F"/>
    <w:rsid w:val="00202762"/>
    <w:rsid w:val="00205109"/>
    <w:rsid w:val="0020566B"/>
    <w:rsid w:val="00213B9B"/>
    <w:rsid w:val="00217B96"/>
    <w:rsid w:val="0022059D"/>
    <w:rsid w:val="0022192B"/>
    <w:rsid w:val="00221B96"/>
    <w:rsid w:val="00224840"/>
    <w:rsid w:val="00233F6D"/>
    <w:rsid w:val="00242DFE"/>
    <w:rsid w:val="00245A40"/>
    <w:rsid w:val="00251720"/>
    <w:rsid w:val="00254D31"/>
    <w:rsid w:val="0025503C"/>
    <w:rsid w:val="00257DC4"/>
    <w:rsid w:val="0026368D"/>
    <w:rsid w:val="0026491F"/>
    <w:rsid w:val="00276644"/>
    <w:rsid w:val="00294B5E"/>
    <w:rsid w:val="002A291C"/>
    <w:rsid w:val="002B63CF"/>
    <w:rsid w:val="002C0341"/>
    <w:rsid w:val="002C069A"/>
    <w:rsid w:val="002C7710"/>
    <w:rsid w:val="002D079C"/>
    <w:rsid w:val="002D09F0"/>
    <w:rsid w:val="002D500C"/>
    <w:rsid w:val="002D614E"/>
    <w:rsid w:val="002D7141"/>
    <w:rsid w:val="002D71AC"/>
    <w:rsid w:val="002E19BC"/>
    <w:rsid w:val="002F5642"/>
    <w:rsid w:val="003000AF"/>
    <w:rsid w:val="00303CA5"/>
    <w:rsid w:val="0030640A"/>
    <w:rsid w:val="00310452"/>
    <w:rsid w:val="00312044"/>
    <w:rsid w:val="003131A3"/>
    <w:rsid w:val="003201DA"/>
    <w:rsid w:val="00331E66"/>
    <w:rsid w:val="00336B9C"/>
    <w:rsid w:val="00347BCA"/>
    <w:rsid w:val="003516F0"/>
    <w:rsid w:val="00375D65"/>
    <w:rsid w:val="00376B80"/>
    <w:rsid w:val="003840FD"/>
    <w:rsid w:val="0038698D"/>
    <w:rsid w:val="00386C1E"/>
    <w:rsid w:val="003954D5"/>
    <w:rsid w:val="003963FB"/>
    <w:rsid w:val="003979FB"/>
    <w:rsid w:val="003B1030"/>
    <w:rsid w:val="003B3A91"/>
    <w:rsid w:val="003B66DB"/>
    <w:rsid w:val="003B7C94"/>
    <w:rsid w:val="003C79FA"/>
    <w:rsid w:val="003D6F96"/>
    <w:rsid w:val="003D7AF8"/>
    <w:rsid w:val="003E1534"/>
    <w:rsid w:val="003E3D77"/>
    <w:rsid w:val="003E72AE"/>
    <w:rsid w:val="00406A3D"/>
    <w:rsid w:val="004111DC"/>
    <w:rsid w:val="0041199F"/>
    <w:rsid w:val="0041238B"/>
    <w:rsid w:val="00412A5E"/>
    <w:rsid w:val="00416D3B"/>
    <w:rsid w:val="0042325F"/>
    <w:rsid w:val="00431780"/>
    <w:rsid w:val="0044117E"/>
    <w:rsid w:val="00464000"/>
    <w:rsid w:val="004653E1"/>
    <w:rsid w:val="00465B4A"/>
    <w:rsid w:val="00473A35"/>
    <w:rsid w:val="00474406"/>
    <w:rsid w:val="00477536"/>
    <w:rsid w:val="004838F4"/>
    <w:rsid w:val="00484FBF"/>
    <w:rsid w:val="004862B1"/>
    <w:rsid w:val="00493ED4"/>
    <w:rsid w:val="0049495E"/>
    <w:rsid w:val="004A4F7D"/>
    <w:rsid w:val="004B3BEA"/>
    <w:rsid w:val="004B70E5"/>
    <w:rsid w:val="004B7C30"/>
    <w:rsid w:val="004C0065"/>
    <w:rsid w:val="004D1B9B"/>
    <w:rsid w:val="004D57E6"/>
    <w:rsid w:val="004E4422"/>
    <w:rsid w:val="0051198C"/>
    <w:rsid w:val="005156F7"/>
    <w:rsid w:val="005167FD"/>
    <w:rsid w:val="005239BE"/>
    <w:rsid w:val="005428AC"/>
    <w:rsid w:val="00543DF8"/>
    <w:rsid w:val="00550515"/>
    <w:rsid w:val="005506D6"/>
    <w:rsid w:val="00552F4A"/>
    <w:rsid w:val="005562DB"/>
    <w:rsid w:val="0055649D"/>
    <w:rsid w:val="0056521F"/>
    <w:rsid w:val="00566D23"/>
    <w:rsid w:val="00576DE1"/>
    <w:rsid w:val="00580769"/>
    <w:rsid w:val="00594178"/>
    <w:rsid w:val="005B4C66"/>
    <w:rsid w:val="005C7D2E"/>
    <w:rsid w:val="005D7B74"/>
    <w:rsid w:val="005F31DB"/>
    <w:rsid w:val="00602DCC"/>
    <w:rsid w:val="006068BB"/>
    <w:rsid w:val="00613607"/>
    <w:rsid w:val="00617C96"/>
    <w:rsid w:val="00622C20"/>
    <w:rsid w:val="00625EA6"/>
    <w:rsid w:val="0063129A"/>
    <w:rsid w:val="00631B37"/>
    <w:rsid w:val="00632926"/>
    <w:rsid w:val="006401FE"/>
    <w:rsid w:val="006436CE"/>
    <w:rsid w:val="006538D8"/>
    <w:rsid w:val="00663451"/>
    <w:rsid w:val="0066506B"/>
    <w:rsid w:val="00674752"/>
    <w:rsid w:val="006829F1"/>
    <w:rsid w:val="006838EC"/>
    <w:rsid w:val="00684295"/>
    <w:rsid w:val="00686134"/>
    <w:rsid w:val="006B6283"/>
    <w:rsid w:val="006C34AB"/>
    <w:rsid w:val="006C6704"/>
    <w:rsid w:val="006D4476"/>
    <w:rsid w:val="006D793E"/>
    <w:rsid w:val="006D7A71"/>
    <w:rsid w:val="006F3089"/>
    <w:rsid w:val="007019FA"/>
    <w:rsid w:val="007110E3"/>
    <w:rsid w:val="0071386F"/>
    <w:rsid w:val="007505E2"/>
    <w:rsid w:val="0076284C"/>
    <w:rsid w:val="00762D9D"/>
    <w:rsid w:val="00777444"/>
    <w:rsid w:val="00780758"/>
    <w:rsid w:val="00785B02"/>
    <w:rsid w:val="0078790E"/>
    <w:rsid w:val="007A26B9"/>
    <w:rsid w:val="007C1132"/>
    <w:rsid w:val="007C12E4"/>
    <w:rsid w:val="007C3C73"/>
    <w:rsid w:val="007D2526"/>
    <w:rsid w:val="007E16D5"/>
    <w:rsid w:val="00801AA8"/>
    <w:rsid w:val="00806BC8"/>
    <w:rsid w:val="00806FCB"/>
    <w:rsid w:val="00810463"/>
    <w:rsid w:val="00812B7B"/>
    <w:rsid w:val="0082356D"/>
    <w:rsid w:val="00826FA9"/>
    <w:rsid w:val="00827F1C"/>
    <w:rsid w:val="00845326"/>
    <w:rsid w:val="00847086"/>
    <w:rsid w:val="008551BE"/>
    <w:rsid w:val="00857B3E"/>
    <w:rsid w:val="00857FFD"/>
    <w:rsid w:val="00861B80"/>
    <w:rsid w:val="0086328E"/>
    <w:rsid w:val="00872D64"/>
    <w:rsid w:val="00875545"/>
    <w:rsid w:val="0087558B"/>
    <w:rsid w:val="00885565"/>
    <w:rsid w:val="00891BA6"/>
    <w:rsid w:val="00897FFA"/>
    <w:rsid w:val="008A198F"/>
    <w:rsid w:val="008A7F56"/>
    <w:rsid w:val="008C0599"/>
    <w:rsid w:val="008C3398"/>
    <w:rsid w:val="008E6BA1"/>
    <w:rsid w:val="008E7300"/>
    <w:rsid w:val="008F79CD"/>
    <w:rsid w:val="0090564A"/>
    <w:rsid w:val="00907327"/>
    <w:rsid w:val="00911F52"/>
    <w:rsid w:val="009120AB"/>
    <w:rsid w:val="009142BB"/>
    <w:rsid w:val="009153BE"/>
    <w:rsid w:val="009155D1"/>
    <w:rsid w:val="0092368A"/>
    <w:rsid w:val="0092525E"/>
    <w:rsid w:val="009308CF"/>
    <w:rsid w:val="00931D99"/>
    <w:rsid w:val="00932503"/>
    <w:rsid w:val="00953709"/>
    <w:rsid w:val="0095699F"/>
    <w:rsid w:val="00963FE0"/>
    <w:rsid w:val="0096587E"/>
    <w:rsid w:val="009772F8"/>
    <w:rsid w:val="009872FC"/>
    <w:rsid w:val="00990C54"/>
    <w:rsid w:val="0099147D"/>
    <w:rsid w:val="009A52F9"/>
    <w:rsid w:val="009B7801"/>
    <w:rsid w:val="009C1205"/>
    <w:rsid w:val="009C1B5C"/>
    <w:rsid w:val="009D1E39"/>
    <w:rsid w:val="009D2318"/>
    <w:rsid w:val="009E14DD"/>
    <w:rsid w:val="009F2893"/>
    <w:rsid w:val="00A01C83"/>
    <w:rsid w:val="00A0297B"/>
    <w:rsid w:val="00A047D9"/>
    <w:rsid w:val="00A21B45"/>
    <w:rsid w:val="00A2607E"/>
    <w:rsid w:val="00A352BD"/>
    <w:rsid w:val="00A40A8B"/>
    <w:rsid w:val="00A42BA5"/>
    <w:rsid w:val="00A61D3E"/>
    <w:rsid w:val="00A62249"/>
    <w:rsid w:val="00A66612"/>
    <w:rsid w:val="00A739C1"/>
    <w:rsid w:val="00A83BF0"/>
    <w:rsid w:val="00A866B6"/>
    <w:rsid w:val="00A91252"/>
    <w:rsid w:val="00A9758A"/>
    <w:rsid w:val="00AA377A"/>
    <w:rsid w:val="00AB3265"/>
    <w:rsid w:val="00AB566D"/>
    <w:rsid w:val="00AC2132"/>
    <w:rsid w:val="00AC4F8C"/>
    <w:rsid w:val="00AC7706"/>
    <w:rsid w:val="00AD22D3"/>
    <w:rsid w:val="00AE3A44"/>
    <w:rsid w:val="00AE7EB0"/>
    <w:rsid w:val="00B060B4"/>
    <w:rsid w:val="00B10B3D"/>
    <w:rsid w:val="00B10EEB"/>
    <w:rsid w:val="00B10FED"/>
    <w:rsid w:val="00B12D28"/>
    <w:rsid w:val="00B15AA9"/>
    <w:rsid w:val="00B16F06"/>
    <w:rsid w:val="00B31325"/>
    <w:rsid w:val="00B33E0C"/>
    <w:rsid w:val="00B35E31"/>
    <w:rsid w:val="00B42160"/>
    <w:rsid w:val="00B74989"/>
    <w:rsid w:val="00B7565B"/>
    <w:rsid w:val="00B8277E"/>
    <w:rsid w:val="00B87879"/>
    <w:rsid w:val="00B9562B"/>
    <w:rsid w:val="00BA008E"/>
    <w:rsid w:val="00BA3329"/>
    <w:rsid w:val="00BC2666"/>
    <w:rsid w:val="00BE3EE0"/>
    <w:rsid w:val="00BF0845"/>
    <w:rsid w:val="00BF10C0"/>
    <w:rsid w:val="00C0437B"/>
    <w:rsid w:val="00C06C81"/>
    <w:rsid w:val="00C11985"/>
    <w:rsid w:val="00C456AD"/>
    <w:rsid w:val="00C658D2"/>
    <w:rsid w:val="00C762A2"/>
    <w:rsid w:val="00C824BC"/>
    <w:rsid w:val="00C85F40"/>
    <w:rsid w:val="00C8682B"/>
    <w:rsid w:val="00C86C1A"/>
    <w:rsid w:val="00C96AE5"/>
    <w:rsid w:val="00C96D02"/>
    <w:rsid w:val="00CA3F0C"/>
    <w:rsid w:val="00CC2E1E"/>
    <w:rsid w:val="00CC73BC"/>
    <w:rsid w:val="00CE6088"/>
    <w:rsid w:val="00CF08CE"/>
    <w:rsid w:val="00D066E0"/>
    <w:rsid w:val="00D0682D"/>
    <w:rsid w:val="00D146D4"/>
    <w:rsid w:val="00D16126"/>
    <w:rsid w:val="00D16E4C"/>
    <w:rsid w:val="00D23740"/>
    <w:rsid w:val="00D263A0"/>
    <w:rsid w:val="00D37B32"/>
    <w:rsid w:val="00D40E90"/>
    <w:rsid w:val="00D41F74"/>
    <w:rsid w:val="00D46D80"/>
    <w:rsid w:val="00D524D2"/>
    <w:rsid w:val="00D5353D"/>
    <w:rsid w:val="00D577A1"/>
    <w:rsid w:val="00D736BC"/>
    <w:rsid w:val="00D91874"/>
    <w:rsid w:val="00D95DF5"/>
    <w:rsid w:val="00DA1B23"/>
    <w:rsid w:val="00DA4DA2"/>
    <w:rsid w:val="00DB09A1"/>
    <w:rsid w:val="00DB7675"/>
    <w:rsid w:val="00DB7960"/>
    <w:rsid w:val="00DC5259"/>
    <w:rsid w:val="00DD5884"/>
    <w:rsid w:val="00DE074C"/>
    <w:rsid w:val="00DE223C"/>
    <w:rsid w:val="00DE4C6F"/>
    <w:rsid w:val="00DE6448"/>
    <w:rsid w:val="00DF15B5"/>
    <w:rsid w:val="00E044D4"/>
    <w:rsid w:val="00E072DF"/>
    <w:rsid w:val="00E07F6C"/>
    <w:rsid w:val="00E15127"/>
    <w:rsid w:val="00E21BD2"/>
    <w:rsid w:val="00E314E4"/>
    <w:rsid w:val="00E32B8B"/>
    <w:rsid w:val="00E34A19"/>
    <w:rsid w:val="00E4149C"/>
    <w:rsid w:val="00E620CE"/>
    <w:rsid w:val="00E71F5D"/>
    <w:rsid w:val="00E75BF9"/>
    <w:rsid w:val="00E82A26"/>
    <w:rsid w:val="00E924BE"/>
    <w:rsid w:val="00E97C96"/>
    <w:rsid w:val="00EA22A4"/>
    <w:rsid w:val="00EA22D3"/>
    <w:rsid w:val="00EA315C"/>
    <w:rsid w:val="00EC148C"/>
    <w:rsid w:val="00EC536A"/>
    <w:rsid w:val="00ED097C"/>
    <w:rsid w:val="00ED3417"/>
    <w:rsid w:val="00ED351D"/>
    <w:rsid w:val="00EE4CFC"/>
    <w:rsid w:val="00EE633E"/>
    <w:rsid w:val="00EE6D6C"/>
    <w:rsid w:val="00F035E5"/>
    <w:rsid w:val="00F04AFA"/>
    <w:rsid w:val="00F06660"/>
    <w:rsid w:val="00F10D48"/>
    <w:rsid w:val="00F12730"/>
    <w:rsid w:val="00F257A4"/>
    <w:rsid w:val="00F31295"/>
    <w:rsid w:val="00F40383"/>
    <w:rsid w:val="00F416A1"/>
    <w:rsid w:val="00F42FE9"/>
    <w:rsid w:val="00F43C9B"/>
    <w:rsid w:val="00F43D31"/>
    <w:rsid w:val="00F43E63"/>
    <w:rsid w:val="00F4526B"/>
    <w:rsid w:val="00F61C7B"/>
    <w:rsid w:val="00F66F92"/>
    <w:rsid w:val="00F77759"/>
    <w:rsid w:val="00F904E1"/>
    <w:rsid w:val="00FA5292"/>
    <w:rsid w:val="00FB0C7C"/>
    <w:rsid w:val="00FB71E2"/>
    <w:rsid w:val="00FC446B"/>
    <w:rsid w:val="00FC4606"/>
    <w:rsid w:val="00FC6848"/>
    <w:rsid w:val="00FD0742"/>
    <w:rsid w:val="00FD3EC9"/>
    <w:rsid w:val="00FE1AF1"/>
    <w:rsid w:val="00FE40E5"/>
    <w:rsid w:val="00FE650F"/>
    <w:rsid w:val="00FE707A"/>
    <w:rsid w:val="00FF066D"/>
    <w:rsid w:val="00FF0B53"/>
    <w:rsid w:val="00FF29A2"/>
    <w:rsid w:val="00FF2DDC"/>
    <w:rsid w:val="00FF3A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81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711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autoRedefine/>
    <w:uiPriority w:val="9"/>
    <w:qFormat/>
    <w:rsid w:val="00A83BF0"/>
    <w:pPr>
      <w:keepNext/>
      <w:spacing w:line="240" w:lineRule="auto"/>
      <w:jc w:val="both"/>
      <w:outlineLvl w:val="1"/>
    </w:pPr>
    <w:rPr>
      <w:rFonts w:ascii="Verdana" w:eastAsia="Times New Roman" w:hAnsi="Verdana" w:cs="Times New Roman"/>
      <w:b/>
      <w:bCs/>
      <w:iCs/>
      <w:sz w:val="28"/>
      <w:szCs w:val="28"/>
    </w:rPr>
  </w:style>
  <w:style w:type="paragraph" w:styleId="Naslov3">
    <w:name w:val="heading 3"/>
    <w:basedOn w:val="Navaden"/>
    <w:next w:val="Navaden"/>
    <w:link w:val="Naslov3Znak"/>
    <w:qFormat/>
    <w:rsid w:val="00082164"/>
    <w:pPr>
      <w:keepNext/>
      <w:spacing w:before="240" w:after="60" w:line="240" w:lineRule="auto"/>
      <w:outlineLvl w:val="2"/>
    </w:pPr>
    <w:rPr>
      <w:rFonts w:ascii="Cambria" w:eastAsia="Times New Roman" w:hAnsi="Cambria" w:cs="Times New Roman"/>
      <w:b/>
      <w:bCs/>
      <w:sz w:val="26"/>
      <w:szCs w:val="26"/>
    </w:rPr>
  </w:style>
  <w:style w:type="paragraph" w:styleId="Naslov4">
    <w:name w:val="heading 4"/>
    <w:basedOn w:val="Navaden"/>
    <w:next w:val="Navaden"/>
    <w:link w:val="Naslov4Znak"/>
    <w:uiPriority w:val="9"/>
    <w:semiHidden/>
    <w:unhideWhenUsed/>
    <w:qFormat/>
    <w:rsid w:val="007807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A83BF0"/>
    <w:rPr>
      <w:rFonts w:ascii="Verdana" w:eastAsia="Times New Roman" w:hAnsi="Verdana" w:cs="Times New Roman"/>
      <w:b/>
      <w:bCs/>
      <w:iCs/>
      <w:sz w:val="28"/>
      <w:szCs w:val="28"/>
    </w:rPr>
  </w:style>
  <w:style w:type="character" w:customStyle="1" w:styleId="Naslov3Znak">
    <w:name w:val="Naslov 3 Znak"/>
    <w:basedOn w:val="Privzetapisavaodstavka"/>
    <w:link w:val="Naslov3"/>
    <w:rsid w:val="00082164"/>
    <w:rPr>
      <w:rFonts w:ascii="Cambria" w:eastAsia="Times New Roman" w:hAnsi="Cambria" w:cs="Times New Roman"/>
      <w:b/>
      <w:bCs/>
      <w:sz w:val="26"/>
      <w:szCs w:val="26"/>
    </w:rPr>
  </w:style>
  <w:style w:type="paragraph" w:styleId="Odstavekseznama">
    <w:name w:val="List Paragraph"/>
    <w:basedOn w:val="Navaden"/>
    <w:uiPriority w:val="34"/>
    <w:qFormat/>
    <w:rsid w:val="00082164"/>
    <w:pPr>
      <w:ind w:left="720"/>
      <w:contextualSpacing/>
    </w:pPr>
    <w:rPr>
      <w:rFonts w:ascii="Calibri" w:eastAsia="Calibri" w:hAnsi="Calibri" w:cs="Times New Roman"/>
    </w:rPr>
  </w:style>
  <w:style w:type="paragraph" w:styleId="Telobesedila">
    <w:name w:val="Body Text"/>
    <w:basedOn w:val="Navaden"/>
    <w:link w:val="TelobesedilaZnak"/>
    <w:rsid w:val="00082164"/>
    <w:pPr>
      <w:spacing w:after="120" w:line="240" w:lineRule="auto"/>
    </w:pPr>
    <w:rPr>
      <w:rFonts w:ascii="Cambria" w:eastAsia="Cambria" w:hAnsi="Cambria" w:cs="Times New Roman"/>
      <w:sz w:val="24"/>
      <w:szCs w:val="24"/>
    </w:rPr>
  </w:style>
  <w:style w:type="character" w:customStyle="1" w:styleId="TelobesedilaZnak">
    <w:name w:val="Telo besedila Znak"/>
    <w:basedOn w:val="Privzetapisavaodstavka"/>
    <w:link w:val="Telobesedila"/>
    <w:rsid w:val="00082164"/>
    <w:rPr>
      <w:rFonts w:ascii="Cambria" w:eastAsia="Cambria" w:hAnsi="Cambria" w:cs="Times New Roman"/>
      <w:sz w:val="24"/>
      <w:szCs w:val="24"/>
    </w:rPr>
  </w:style>
  <w:style w:type="character" w:styleId="Hiperpovezava">
    <w:name w:val="Hyperlink"/>
    <w:uiPriority w:val="99"/>
    <w:rsid w:val="00082164"/>
    <w:rPr>
      <w:color w:val="0000FF"/>
      <w:u w:val="single"/>
    </w:rPr>
  </w:style>
  <w:style w:type="character" w:styleId="Pripombasklic">
    <w:name w:val="annotation reference"/>
    <w:rsid w:val="00082164"/>
    <w:rPr>
      <w:sz w:val="16"/>
      <w:szCs w:val="16"/>
    </w:rPr>
  </w:style>
  <w:style w:type="paragraph" w:styleId="Pripombabesedilo">
    <w:name w:val="annotation text"/>
    <w:basedOn w:val="Navaden"/>
    <w:link w:val="PripombabesediloZnak1"/>
    <w:rsid w:val="00082164"/>
    <w:pPr>
      <w:spacing w:line="240" w:lineRule="auto"/>
    </w:pPr>
    <w:rPr>
      <w:rFonts w:ascii="Cambria" w:eastAsia="Cambria" w:hAnsi="Cambria" w:cs="Times New Roman"/>
      <w:sz w:val="20"/>
      <w:szCs w:val="20"/>
    </w:rPr>
  </w:style>
  <w:style w:type="character" w:customStyle="1" w:styleId="PripombabesediloZnak">
    <w:name w:val="Pripomba – besedilo Znak"/>
    <w:basedOn w:val="Privzetapisavaodstavka"/>
    <w:uiPriority w:val="99"/>
    <w:rsid w:val="00082164"/>
    <w:rPr>
      <w:sz w:val="20"/>
      <w:szCs w:val="20"/>
    </w:rPr>
  </w:style>
  <w:style w:type="character" w:customStyle="1" w:styleId="PripombabesediloZnak1">
    <w:name w:val="Pripomba – besedilo Znak1"/>
    <w:link w:val="Pripombabesedilo"/>
    <w:rsid w:val="00082164"/>
    <w:rPr>
      <w:rFonts w:ascii="Cambria" w:eastAsia="Cambria" w:hAnsi="Cambria" w:cs="Times New Roman"/>
      <w:sz w:val="20"/>
      <w:szCs w:val="20"/>
    </w:rPr>
  </w:style>
  <w:style w:type="paragraph" w:styleId="Kazalovsebine1">
    <w:name w:val="toc 1"/>
    <w:basedOn w:val="Navaden"/>
    <w:next w:val="Navaden"/>
    <w:autoRedefine/>
    <w:uiPriority w:val="39"/>
    <w:rsid w:val="00082164"/>
    <w:pPr>
      <w:tabs>
        <w:tab w:val="right" w:pos="9372"/>
      </w:tabs>
      <w:spacing w:before="360" w:after="0" w:line="240" w:lineRule="auto"/>
    </w:pPr>
    <w:rPr>
      <w:rFonts w:ascii="Verdana" w:eastAsia="Cambria" w:hAnsi="Verdana" w:cs="Times New Roman"/>
      <w:b/>
      <w:bCs/>
      <w:noProof/>
      <w:sz w:val="20"/>
      <w:szCs w:val="20"/>
    </w:rPr>
  </w:style>
  <w:style w:type="paragraph" w:styleId="Kazalovsebine2">
    <w:name w:val="toc 2"/>
    <w:basedOn w:val="Navaden"/>
    <w:next w:val="Navaden"/>
    <w:autoRedefine/>
    <w:uiPriority w:val="39"/>
    <w:rsid w:val="00082164"/>
    <w:pPr>
      <w:tabs>
        <w:tab w:val="right" w:pos="9372"/>
      </w:tabs>
      <w:spacing w:before="240" w:after="0" w:line="240" w:lineRule="auto"/>
    </w:pPr>
    <w:rPr>
      <w:rFonts w:ascii="Verdana" w:eastAsia="Cambria" w:hAnsi="Verdana" w:cs="Calibri"/>
      <w:bCs/>
      <w:noProof/>
      <w:sz w:val="20"/>
      <w:szCs w:val="20"/>
    </w:rPr>
  </w:style>
  <w:style w:type="paragraph" w:styleId="Naslov">
    <w:name w:val="Title"/>
    <w:basedOn w:val="Navaden"/>
    <w:next w:val="Navaden"/>
    <w:link w:val="NaslovZnak"/>
    <w:qFormat/>
    <w:rsid w:val="00082164"/>
    <w:pPr>
      <w:spacing w:before="240" w:after="60" w:line="240" w:lineRule="auto"/>
      <w:jc w:val="center"/>
      <w:outlineLvl w:val="0"/>
    </w:pPr>
    <w:rPr>
      <w:rFonts w:ascii="Verdana" w:eastAsia="Times New Roman" w:hAnsi="Verdana" w:cs="Times New Roman"/>
      <w:b/>
      <w:bCs/>
      <w:kern w:val="28"/>
      <w:sz w:val="28"/>
      <w:szCs w:val="32"/>
    </w:rPr>
  </w:style>
  <w:style w:type="character" w:customStyle="1" w:styleId="NaslovZnak">
    <w:name w:val="Naslov Znak"/>
    <w:basedOn w:val="Privzetapisavaodstavka"/>
    <w:link w:val="Naslov"/>
    <w:rsid w:val="00082164"/>
    <w:rPr>
      <w:rFonts w:ascii="Verdana" w:eastAsia="Times New Roman" w:hAnsi="Verdana" w:cs="Times New Roman"/>
      <w:b/>
      <w:bCs/>
      <w:kern w:val="28"/>
      <w:sz w:val="28"/>
      <w:szCs w:val="32"/>
    </w:rPr>
  </w:style>
  <w:style w:type="paragraph" w:styleId="Navadensplet">
    <w:name w:val="Normal (Web)"/>
    <w:basedOn w:val="Navaden"/>
    <w:uiPriority w:val="99"/>
    <w:unhideWhenUsed/>
    <w:rsid w:val="0008216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08216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2164"/>
    <w:rPr>
      <w:rFonts w:ascii="Tahoma" w:hAnsi="Tahoma" w:cs="Tahoma"/>
      <w:sz w:val="16"/>
      <w:szCs w:val="16"/>
    </w:rPr>
  </w:style>
  <w:style w:type="paragraph" w:styleId="Glava">
    <w:name w:val="header"/>
    <w:basedOn w:val="Navaden"/>
    <w:link w:val="GlavaZnak"/>
    <w:uiPriority w:val="99"/>
    <w:rsid w:val="004653E1"/>
    <w:pPr>
      <w:tabs>
        <w:tab w:val="center" w:pos="4536"/>
        <w:tab w:val="right" w:pos="9072"/>
      </w:tabs>
      <w:spacing w:line="240" w:lineRule="auto"/>
    </w:pPr>
    <w:rPr>
      <w:rFonts w:ascii="Cambria" w:eastAsia="Cambria" w:hAnsi="Cambria" w:cs="Times New Roman"/>
      <w:sz w:val="24"/>
      <w:szCs w:val="24"/>
    </w:rPr>
  </w:style>
  <w:style w:type="character" w:customStyle="1" w:styleId="GlavaZnak">
    <w:name w:val="Glava Znak"/>
    <w:basedOn w:val="Privzetapisavaodstavka"/>
    <w:link w:val="Glava"/>
    <w:uiPriority w:val="99"/>
    <w:rsid w:val="004653E1"/>
    <w:rPr>
      <w:rFonts w:ascii="Cambria" w:eastAsia="Cambria" w:hAnsi="Cambria" w:cs="Times New Roman"/>
      <w:sz w:val="24"/>
      <w:szCs w:val="24"/>
    </w:rPr>
  </w:style>
  <w:style w:type="paragraph" w:styleId="Noga">
    <w:name w:val="footer"/>
    <w:basedOn w:val="Navaden"/>
    <w:link w:val="NogaZnak"/>
    <w:uiPriority w:val="99"/>
    <w:rsid w:val="004653E1"/>
    <w:pPr>
      <w:tabs>
        <w:tab w:val="center" w:pos="4536"/>
        <w:tab w:val="right" w:pos="9072"/>
      </w:tabs>
      <w:spacing w:line="240" w:lineRule="auto"/>
    </w:pPr>
    <w:rPr>
      <w:rFonts w:ascii="Cambria" w:eastAsia="Cambria" w:hAnsi="Cambria" w:cs="Times New Roman"/>
      <w:sz w:val="24"/>
      <w:szCs w:val="24"/>
    </w:rPr>
  </w:style>
  <w:style w:type="character" w:customStyle="1" w:styleId="NogaZnak">
    <w:name w:val="Noga Znak"/>
    <w:basedOn w:val="Privzetapisavaodstavka"/>
    <w:link w:val="Noga"/>
    <w:uiPriority w:val="99"/>
    <w:rsid w:val="004653E1"/>
    <w:rPr>
      <w:rFonts w:ascii="Cambria" w:eastAsia="Cambria" w:hAnsi="Cambria" w:cs="Times New Roman"/>
      <w:sz w:val="24"/>
      <w:szCs w:val="24"/>
    </w:rPr>
  </w:style>
  <w:style w:type="paragraph" w:styleId="Brezrazmikov">
    <w:name w:val="No Spacing"/>
    <w:uiPriority w:val="1"/>
    <w:qFormat/>
    <w:rsid w:val="004653E1"/>
    <w:pPr>
      <w:spacing w:after="0" w:line="240" w:lineRule="auto"/>
    </w:pPr>
    <w:rPr>
      <w:rFonts w:ascii="Calibri" w:eastAsia="Calibri" w:hAnsi="Calibri" w:cs="Times New Roman"/>
    </w:rPr>
  </w:style>
  <w:style w:type="table" w:styleId="Tabelamrea">
    <w:name w:val="Table Grid"/>
    <w:basedOn w:val="Navadnatabela"/>
    <w:uiPriority w:val="59"/>
    <w:rsid w:val="00465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EE633E"/>
    <w:rPr>
      <w:rFonts w:asciiTheme="minorHAnsi" w:eastAsiaTheme="minorHAnsi" w:hAnsiTheme="minorHAnsi" w:cstheme="minorBidi"/>
      <w:b/>
      <w:bCs/>
    </w:rPr>
  </w:style>
  <w:style w:type="character" w:customStyle="1" w:styleId="ZadevapripombeZnak">
    <w:name w:val="Zadeva pripombe Znak"/>
    <w:basedOn w:val="PripombabesediloZnak1"/>
    <w:link w:val="Zadevapripombe"/>
    <w:uiPriority w:val="99"/>
    <w:semiHidden/>
    <w:rsid w:val="00EE633E"/>
    <w:rPr>
      <w:rFonts w:ascii="Cambria" w:eastAsia="Cambria" w:hAnsi="Cambria" w:cs="Times New Roman"/>
      <w:b/>
      <w:bCs/>
      <w:sz w:val="20"/>
      <w:szCs w:val="20"/>
    </w:rPr>
  </w:style>
  <w:style w:type="character" w:customStyle="1" w:styleId="Naslov1Znak">
    <w:name w:val="Naslov 1 Znak"/>
    <w:basedOn w:val="Privzetapisavaodstavka"/>
    <w:link w:val="Naslov1"/>
    <w:uiPriority w:val="9"/>
    <w:rsid w:val="007110E3"/>
    <w:rPr>
      <w:rFonts w:asciiTheme="majorHAnsi" w:eastAsiaTheme="majorEastAsia" w:hAnsiTheme="majorHAnsi" w:cstheme="majorBidi"/>
      <w:b/>
      <w:bCs/>
      <w:color w:val="365F91" w:themeColor="accent1" w:themeShade="BF"/>
      <w:sz w:val="28"/>
      <w:szCs w:val="28"/>
    </w:rPr>
  </w:style>
  <w:style w:type="character" w:styleId="Krepko">
    <w:name w:val="Strong"/>
    <w:uiPriority w:val="22"/>
    <w:qFormat/>
    <w:rsid w:val="008F79CD"/>
    <w:rPr>
      <w:b/>
      <w:bCs/>
    </w:rPr>
  </w:style>
  <w:style w:type="character" w:customStyle="1" w:styleId="Naslov4Znak">
    <w:name w:val="Naslov 4 Znak"/>
    <w:basedOn w:val="Privzetapisavaodstavka"/>
    <w:link w:val="Naslov4"/>
    <w:uiPriority w:val="9"/>
    <w:semiHidden/>
    <w:rsid w:val="00780758"/>
    <w:rPr>
      <w:rFonts w:asciiTheme="majorHAnsi" w:eastAsiaTheme="majorEastAsia" w:hAnsiTheme="majorHAnsi" w:cstheme="majorBidi"/>
      <w:b/>
      <w:bCs/>
      <w:i/>
      <w:iCs/>
      <w:color w:val="4F81BD" w:themeColor="accent1"/>
    </w:rPr>
  </w:style>
  <w:style w:type="paragraph" w:customStyle="1" w:styleId="Default">
    <w:name w:val="Default"/>
    <w:rsid w:val="009142BB"/>
    <w:pPr>
      <w:autoSpaceDE w:val="0"/>
      <w:autoSpaceDN w:val="0"/>
      <w:adjustRightInd w:val="0"/>
      <w:spacing w:after="0" w:line="240" w:lineRule="auto"/>
    </w:pPr>
    <w:rPr>
      <w:rFonts w:ascii="Calibri" w:eastAsia="Times New Roman" w:hAnsi="Calibri" w:cs="Calibri"/>
      <w:color w:val="000000"/>
      <w:sz w:val="24"/>
      <w:szCs w:val="24"/>
      <w:lang w:eastAsia="sl-SI"/>
    </w:rPr>
  </w:style>
  <w:style w:type="paragraph" w:styleId="Podnaslov">
    <w:name w:val="Subtitle"/>
    <w:basedOn w:val="Navaden"/>
    <w:next w:val="Navaden"/>
    <w:link w:val="PodnaslovZnak"/>
    <w:uiPriority w:val="11"/>
    <w:qFormat/>
    <w:rsid w:val="00953709"/>
    <w:pPr>
      <w:numPr>
        <w:ilvl w:val="1"/>
      </w:numPr>
      <w:spacing w:after="160"/>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953709"/>
    <w:rPr>
      <w:rFonts w:eastAsiaTheme="minorEastAsia"/>
      <w:color w:val="5A5A5A" w:themeColor="text1" w:themeTint="A5"/>
      <w:spacing w:val="15"/>
    </w:rPr>
  </w:style>
  <w:style w:type="character" w:styleId="Neenpoudarek">
    <w:name w:val="Subtle Emphasis"/>
    <w:basedOn w:val="Privzetapisavaodstavka"/>
    <w:uiPriority w:val="19"/>
    <w:qFormat/>
    <w:rsid w:val="001E7AA3"/>
    <w:rPr>
      <w:i/>
      <w:iCs/>
      <w:color w:val="404040" w:themeColor="text1" w:themeTint="BF"/>
    </w:rPr>
  </w:style>
  <w:style w:type="character" w:styleId="SledenaHiperpovezava">
    <w:name w:val="FollowedHyperlink"/>
    <w:basedOn w:val="Privzetapisavaodstavka"/>
    <w:uiPriority w:val="99"/>
    <w:semiHidden/>
    <w:unhideWhenUsed/>
    <w:rsid w:val="003D7AF8"/>
    <w:rPr>
      <w:color w:val="800080"/>
      <w:u w:val="single"/>
    </w:rPr>
  </w:style>
  <w:style w:type="paragraph" w:customStyle="1" w:styleId="xl66">
    <w:name w:val="xl66"/>
    <w:basedOn w:val="Navaden"/>
    <w:rsid w:val="003D7AF8"/>
    <w:pPr>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67">
    <w:name w:val="xl67"/>
    <w:basedOn w:val="Navaden"/>
    <w:rsid w:val="003D7AF8"/>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68">
    <w:name w:val="xl68"/>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sl-SI"/>
    </w:rPr>
  </w:style>
  <w:style w:type="paragraph" w:customStyle="1" w:styleId="xl69">
    <w:name w:val="xl69"/>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Verdana" w:eastAsia="Times New Roman" w:hAnsi="Verdana" w:cs="Times New Roman"/>
      <w:b/>
      <w:bCs/>
      <w:sz w:val="20"/>
      <w:szCs w:val="20"/>
      <w:lang w:eastAsia="sl-SI"/>
    </w:rPr>
  </w:style>
  <w:style w:type="paragraph" w:customStyle="1" w:styleId="xl70">
    <w:name w:val="xl70"/>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color w:val="000000"/>
      <w:sz w:val="20"/>
      <w:szCs w:val="20"/>
      <w:lang w:eastAsia="sl-SI"/>
    </w:rPr>
  </w:style>
  <w:style w:type="paragraph" w:customStyle="1" w:styleId="xl71">
    <w:name w:val="xl71"/>
    <w:basedOn w:val="Navaden"/>
    <w:rsid w:val="003D7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0"/>
      <w:szCs w:val="20"/>
      <w:lang w:eastAsia="sl-SI"/>
    </w:rPr>
  </w:style>
  <w:style w:type="paragraph" w:customStyle="1" w:styleId="xl72">
    <w:name w:val="xl72"/>
    <w:basedOn w:val="Navaden"/>
    <w:rsid w:val="003D7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73">
    <w:name w:val="xl73"/>
    <w:basedOn w:val="Navaden"/>
    <w:rsid w:val="003D7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color w:val="000000"/>
      <w:sz w:val="20"/>
      <w:szCs w:val="20"/>
      <w:lang w:eastAsia="sl-SI"/>
    </w:rPr>
  </w:style>
  <w:style w:type="paragraph" w:customStyle="1" w:styleId="xl74">
    <w:name w:val="xl74"/>
    <w:basedOn w:val="Navaden"/>
    <w:rsid w:val="003D7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sz w:val="20"/>
      <w:szCs w:val="20"/>
      <w:lang w:eastAsia="sl-SI"/>
    </w:rPr>
  </w:style>
  <w:style w:type="paragraph" w:customStyle="1" w:styleId="xl75">
    <w:name w:val="xl75"/>
    <w:basedOn w:val="Navaden"/>
    <w:rsid w:val="003D7AF8"/>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76">
    <w:name w:val="xl76"/>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77">
    <w:name w:val="xl77"/>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Verdana" w:eastAsia="Times New Roman" w:hAnsi="Verdana" w:cs="Times New Roman"/>
      <w:sz w:val="20"/>
      <w:szCs w:val="20"/>
      <w:lang w:eastAsia="sl-SI"/>
    </w:rPr>
  </w:style>
  <w:style w:type="paragraph" w:customStyle="1" w:styleId="xl78">
    <w:name w:val="xl78"/>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Verdana" w:eastAsia="Times New Roman" w:hAnsi="Verdana" w:cs="Times New Roman"/>
      <w:b/>
      <w:bCs/>
      <w:sz w:val="20"/>
      <w:szCs w:val="20"/>
      <w:lang w:eastAsia="sl-SI"/>
    </w:rPr>
  </w:style>
  <w:style w:type="paragraph" w:customStyle="1" w:styleId="xl79">
    <w:name w:val="xl79"/>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Verdana" w:eastAsia="Times New Roman" w:hAnsi="Verdana" w:cs="Times New Roman"/>
      <w:b/>
      <w:bCs/>
      <w:color w:val="000000"/>
      <w:sz w:val="20"/>
      <w:szCs w:val="20"/>
      <w:lang w:eastAsia="sl-SI"/>
    </w:rPr>
  </w:style>
  <w:style w:type="paragraph" w:customStyle="1" w:styleId="xl80">
    <w:name w:val="xl80"/>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Verdana" w:eastAsia="Times New Roman" w:hAnsi="Verdana" w:cs="Times New Roman"/>
      <w:color w:val="000000"/>
      <w:sz w:val="20"/>
      <w:szCs w:val="20"/>
      <w:lang w:eastAsia="sl-SI"/>
    </w:rPr>
  </w:style>
  <w:style w:type="paragraph" w:customStyle="1" w:styleId="xl81">
    <w:name w:val="xl81"/>
    <w:basedOn w:val="Navaden"/>
    <w:rsid w:val="003D7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82">
    <w:name w:val="xl82"/>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sl-SI"/>
    </w:rPr>
  </w:style>
  <w:style w:type="paragraph" w:customStyle="1" w:styleId="xl83">
    <w:name w:val="xl83"/>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84">
    <w:name w:val="xl84"/>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85">
    <w:name w:val="xl85"/>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ymbol" w:eastAsia="Times New Roman" w:hAnsi="Symbol" w:cs="Times New Roman"/>
      <w:sz w:val="20"/>
      <w:szCs w:val="20"/>
      <w:lang w:eastAsia="sl-SI"/>
    </w:rPr>
  </w:style>
  <w:style w:type="paragraph" w:customStyle="1" w:styleId="xl86">
    <w:name w:val="xl86"/>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ymbol" w:eastAsia="Times New Roman" w:hAnsi="Symbol" w:cs="Times New Roman"/>
      <w:color w:val="000000"/>
      <w:sz w:val="20"/>
      <w:szCs w:val="20"/>
      <w:lang w:eastAsia="sl-SI"/>
    </w:rPr>
  </w:style>
  <w:style w:type="paragraph" w:customStyle="1" w:styleId="xl87">
    <w:name w:val="xl87"/>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88">
    <w:name w:val="xl88"/>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Verdana" w:eastAsia="Times New Roman" w:hAnsi="Verdana" w:cs="Times New Roman"/>
      <w:sz w:val="20"/>
      <w:szCs w:val="20"/>
      <w:lang w:eastAsia="sl-SI"/>
    </w:rPr>
  </w:style>
  <w:style w:type="paragraph" w:customStyle="1" w:styleId="xl89">
    <w:name w:val="xl89"/>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Verdana" w:eastAsia="Times New Roman" w:hAnsi="Verdana" w:cs="Times New Roman"/>
      <w:sz w:val="20"/>
      <w:szCs w:val="20"/>
      <w:lang w:eastAsia="sl-SI"/>
    </w:rPr>
  </w:style>
  <w:style w:type="paragraph" w:customStyle="1" w:styleId="xl90">
    <w:name w:val="xl90"/>
    <w:basedOn w:val="Navaden"/>
    <w:rsid w:val="003D7AF8"/>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91">
    <w:name w:val="xl91"/>
    <w:basedOn w:val="Navaden"/>
    <w:rsid w:val="003D7AF8"/>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92">
    <w:name w:val="xl92"/>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ymbol" w:eastAsia="Times New Roman" w:hAnsi="Symbol" w:cs="Times New Roman"/>
      <w:sz w:val="20"/>
      <w:szCs w:val="20"/>
      <w:lang w:eastAsia="sl-SI"/>
    </w:rPr>
  </w:style>
  <w:style w:type="paragraph" w:customStyle="1" w:styleId="xl93">
    <w:name w:val="xl93"/>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Verdana" w:eastAsia="Times New Roman" w:hAnsi="Verdana" w:cs="Times New Roman"/>
      <w:sz w:val="20"/>
      <w:szCs w:val="20"/>
      <w:lang w:eastAsia="sl-SI"/>
    </w:rPr>
  </w:style>
  <w:style w:type="paragraph" w:customStyle="1" w:styleId="xl94">
    <w:name w:val="xl94"/>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95">
    <w:name w:val="xl95"/>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Verdana" w:eastAsia="Times New Roman" w:hAnsi="Verdana" w:cs="Times New Roman"/>
      <w:color w:val="000000"/>
      <w:sz w:val="20"/>
      <w:szCs w:val="20"/>
      <w:lang w:eastAsia="sl-SI"/>
    </w:rPr>
  </w:style>
  <w:style w:type="paragraph" w:customStyle="1" w:styleId="xl96">
    <w:name w:val="xl96"/>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ymbol" w:eastAsia="Times New Roman" w:hAnsi="Symbol" w:cs="Times New Roman"/>
      <w:color w:val="000000"/>
      <w:sz w:val="20"/>
      <w:szCs w:val="20"/>
      <w:lang w:eastAsia="sl-SI"/>
    </w:rPr>
  </w:style>
  <w:style w:type="paragraph" w:customStyle="1" w:styleId="xl97">
    <w:name w:val="xl97"/>
    <w:basedOn w:val="Navaden"/>
    <w:rsid w:val="003D7AF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color w:val="000000"/>
      <w:sz w:val="20"/>
      <w:szCs w:val="20"/>
      <w:lang w:eastAsia="sl-SI"/>
    </w:rPr>
  </w:style>
  <w:style w:type="paragraph" w:customStyle="1" w:styleId="xl98">
    <w:name w:val="xl98"/>
    <w:basedOn w:val="Navaden"/>
    <w:rsid w:val="003D7AF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711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autoRedefine/>
    <w:uiPriority w:val="9"/>
    <w:qFormat/>
    <w:rsid w:val="00A83BF0"/>
    <w:pPr>
      <w:keepNext/>
      <w:spacing w:line="240" w:lineRule="auto"/>
      <w:jc w:val="both"/>
      <w:outlineLvl w:val="1"/>
    </w:pPr>
    <w:rPr>
      <w:rFonts w:ascii="Verdana" w:eastAsia="Times New Roman" w:hAnsi="Verdana" w:cs="Times New Roman"/>
      <w:b/>
      <w:bCs/>
      <w:iCs/>
      <w:sz w:val="28"/>
      <w:szCs w:val="28"/>
    </w:rPr>
  </w:style>
  <w:style w:type="paragraph" w:styleId="Naslov3">
    <w:name w:val="heading 3"/>
    <w:basedOn w:val="Navaden"/>
    <w:next w:val="Navaden"/>
    <w:link w:val="Naslov3Znak"/>
    <w:qFormat/>
    <w:rsid w:val="00082164"/>
    <w:pPr>
      <w:keepNext/>
      <w:spacing w:before="240" w:after="60" w:line="240" w:lineRule="auto"/>
      <w:outlineLvl w:val="2"/>
    </w:pPr>
    <w:rPr>
      <w:rFonts w:ascii="Cambria" w:eastAsia="Times New Roman" w:hAnsi="Cambria" w:cs="Times New Roman"/>
      <w:b/>
      <w:bCs/>
      <w:sz w:val="26"/>
      <w:szCs w:val="26"/>
    </w:rPr>
  </w:style>
  <w:style w:type="paragraph" w:styleId="Naslov4">
    <w:name w:val="heading 4"/>
    <w:basedOn w:val="Navaden"/>
    <w:next w:val="Navaden"/>
    <w:link w:val="Naslov4Znak"/>
    <w:uiPriority w:val="9"/>
    <w:semiHidden/>
    <w:unhideWhenUsed/>
    <w:qFormat/>
    <w:rsid w:val="007807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A83BF0"/>
    <w:rPr>
      <w:rFonts w:ascii="Verdana" w:eastAsia="Times New Roman" w:hAnsi="Verdana" w:cs="Times New Roman"/>
      <w:b/>
      <w:bCs/>
      <w:iCs/>
      <w:sz w:val="28"/>
      <w:szCs w:val="28"/>
    </w:rPr>
  </w:style>
  <w:style w:type="character" w:customStyle="1" w:styleId="Naslov3Znak">
    <w:name w:val="Naslov 3 Znak"/>
    <w:basedOn w:val="Privzetapisavaodstavka"/>
    <w:link w:val="Naslov3"/>
    <w:rsid w:val="00082164"/>
    <w:rPr>
      <w:rFonts w:ascii="Cambria" w:eastAsia="Times New Roman" w:hAnsi="Cambria" w:cs="Times New Roman"/>
      <w:b/>
      <w:bCs/>
      <w:sz w:val="26"/>
      <w:szCs w:val="26"/>
    </w:rPr>
  </w:style>
  <w:style w:type="paragraph" w:styleId="Odstavekseznama">
    <w:name w:val="List Paragraph"/>
    <w:basedOn w:val="Navaden"/>
    <w:uiPriority w:val="34"/>
    <w:qFormat/>
    <w:rsid w:val="00082164"/>
    <w:pPr>
      <w:ind w:left="720"/>
      <w:contextualSpacing/>
    </w:pPr>
    <w:rPr>
      <w:rFonts w:ascii="Calibri" w:eastAsia="Calibri" w:hAnsi="Calibri" w:cs="Times New Roman"/>
    </w:rPr>
  </w:style>
  <w:style w:type="paragraph" w:styleId="Telobesedila">
    <w:name w:val="Body Text"/>
    <w:basedOn w:val="Navaden"/>
    <w:link w:val="TelobesedilaZnak"/>
    <w:rsid w:val="00082164"/>
    <w:pPr>
      <w:spacing w:after="120" w:line="240" w:lineRule="auto"/>
    </w:pPr>
    <w:rPr>
      <w:rFonts w:ascii="Cambria" w:eastAsia="Cambria" w:hAnsi="Cambria" w:cs="Times New Roman"/>
      <w:sz w:val="24"/>
      <w:szCs w:val="24"/>
    </w:rPr>
  </w:style>
  <w:style w:type="character" w:customStyle="1" w:styleId="TelobesedilaZnak">
    <w:name w:val="Telo besedila Znak"/>
    <w:basedOn w:val="Privzetapisavaodstavka"/>
    <w:link w:val="Telobesedila"/>
    <w:rsid w:val="00082164"/>
    <w:rPr>
      <w:rFonts w:ascii="Cambria" w:eastAsia="Cambria" w:hAnsi="Cambria" w:cs="Times New Roman"/>
      <w:sz w:val="24"/>
      <w:szCs w:val="24"/>
    </w:rPr>
  </w:style>
  <w:style w:type="character" w:styleId="Hiperpovezava">
    <w:name w:val="Hyperlink"/>
    <w:uiPriority w:val="99"/>
    <w:rsid w:val="00082164"/>
    <w:rPr>
      <w:color w:val="0000FF"/>
      <w:u w:val="single"/>
    </w:rPr>
  </w:style>
  <w:style w:type="character" w:styleId="Pripombasklic">
    <w:name w:val="annotation reference"/>
    <w:rsid w:val="00082164"/>
    <w:rPr>
      <w:sz w:val="16"/>
      <w:szCs w:val="16"/>
    </w:rPr>
  </w:style>
  <w:style w:type="paragraph" w:styleId="Pripombabesedilo">
    <w:name w:val="annotation text"/>
    <w:basedOn w:val="Navaden"/>
    <w:link w:val="PripombabesediloZnak1"/>
    <w:rsid w:val="00082164"/>
    <w:pPr>
      <w:spacing w:line="240" w:lineRule="auto"/>
    </w:pPr>
    <w:rPr>
      <w:rFonts w:ascii="Cambria" w:eastAsia="Cambria" w:hAnsi="Cambria" w:cs="Times New Roman"/>
      <w:sz w:val="20"/>
      <w:szCs w:val="20"/>
    </w:rPr>
  </w:style>
  <w:style w:type="character" w:customStyle="1" w:styleId="PripombabesediloZnak">
    <w:name w:val="Pripomba – besedilo Znak"/>
    <w:basedOn w:val="Privzetapisavaodstavka"/>
    <w:uiPriority w:val="99"/>
    <w:rsid w:val="00082164"/>
    <w:rPr>
      <w:sz w:val="20"/>
      <w:szCs w:val="20"/>
    </w:rPr>
  </w:style>
  <w:style w:type="character" w:customStyle="1" w:styleId="PripombabesediloZnak1">
    <w:name w:val="Pripomba – besedilo Znak1"/>
    <w:link w:val="Pripombabesedilo"/>
    <w:rsid w:val="00082164"/>
    <w:rPr>
      <w:rFonts w:ascii="Cambria" w:eastAsia="Cambria" w:hAnsi="Cambria" w:cs="Times New Roman"/>
      <w:sz w:val="20"/>
      <w:szCs w:val="20"/>
    </w:rPr>
  </w:style>
  <w:style w:type="paragraph" w:styleId="Kazalovsebine1">
    <w:name w:val="toc 1"/>
    <w:basedOn w:val="Navaden"/>
    <w:next w:val="Navaden"/>
    <w:autoRedefine/>
    <w:uiPriority w:val="39"/>
    <w:rsid w:val="00082164"/>
    <w:pPr>
      <w:tabs>
        <w:tab w:val="right" w:pos="9372"/>
      </w:tabs>
      <w:spacing w:before="360" w:after="0" w:line="240" w:lineRule="auto"/>
    </w:pPr>
    <w:rPr>
      <w:rFonts w:ascii="Verdana" w:eastAsia="Cambria" w:hAnsi="Verdana" w:cs="Times New Roman"/>
      <w:b/>
      <w:bCs/>
      <w:noProof/>
      <w:sz w:val="20"/>
      <w:szCs w:val="20"/>
    </w:rPr>
  </w:style>
  <w:style w:type="paragraph" w:styleId="Kazalovsebine2">
    <w:name w:val="toc 2"/>
    <w:basedOn w:val="Navaden"/>
    <w:next w:val="Navaden"/>
    <w:autoRedefine/>
    <w:uiPriority w:val="39"/>
    <w:rsid w:val="00082164"/>
    <w:pPr>
      <w:tabs>
        <w:tab w:val="right" w:pos="9372"/>
      </w:tabs>
      <w:spacing w:before="240" w:after="0" w:line="240" w:lineRule="auto"/>
    </w:pPr>
    <w:rPr>
      <w:rFonts w:ascii="Verdana" w:eastAsia="Cambria" w:hAnsi="Verdana" w:cs="Calibri"/>
      <w:bCs/>
      <w:noProof/>
      <w:sz w:val="20"/>
      <w:szCs w:val="20"/>
    </w:rPr>
  </w:style>
  <w:style w:type="paragraph" w:styleId="Naslov">
    <w:name w:val="Title"/>
    <w:basedOn w:val="Navaden"/>
    <w:next w:val="Navaden"/>
    <w:link w:val="NaslovZnak"/>
    <w:qFormat/>
    <w:rsid w:val="00082164"/>
    <w:pPr>
      <w:spacing w:before="240" w:after="60" w:line="240" w:lineRule="auto"/>
      <w:jc w:val="center"/>
      <w:outlineLvl w:val="0"/>
    </w:pPr>
    <w:rPr>
      <w:rFonts w:ascii="Verdana" w:eastAsia="Times New Roman" w:hAnsi="Verdana" w:cs="Times New Roman"/>
      <w:b/>
      <w:bCs/>
      <w:kern w:val="28"/>
      <w:sz w:val="28"/>
      <w:szCs w:val="32"/>
    </w:rPr>
  </w:style>
  <w:style w:type="character" w:customStyle="1" w:styleId="NaslovZnak">
    <w:name w:val="Naslov Znak"/>
    <w:basedOn w:val="Privzetapisavaodstavka"/>
    <w:link w:val="Naslov"/>
    <w:rsid w:val="00082164"/>
    <w:rPr>
      <w:rFonts w:ascii="Verdana" w:eastAsia="Times New Roman" w:hAnsi="Verdana" w:cs="Times New Roman"/>
      <w:b/>
      <w:bCs/>
      <w:kern w:val="28"/>
      <w:sz w:val="28"/>
      <w:szCs w:val="32"/>
    </w:rPr>
  </w:style>
  <w:style w:type="paragraph" w:styleId="Navadensplet">
    <w:name w:val="Normal (Web)"/>
    <w:basedOn w:val="Navaden"/>
    <w:uiPriority w:val="99"/>
    <w:unhideWhenUsed/>
    <w:rsid w:val="0008216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08216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2164"/>
    <w:rPr>
      <w:rFonts w:ascii="Tahoma" w:hAnsi="Tahoma" w:cs="Tahoma"/>
      <w:sz w:val="16"/>
      <w:szCs w:val="16"/>
    </w:rPr>
  </w:style>
  <w:style w:type="paragraph" w:styleId="Glava">
    <w:name w:val="header"/>
    <w:basedOn w:val="Navaden"/>
    <w:link w:val="GlavaZnak"/>
    <w:uiPriority w:val="99"/>
    <w:rsid w:val="004653E1"/>
    <w:pPr>
      <w:tabs>
        <w:tab w:val="center" w:pos="4536"/>
        <w:tab w:val="right" w:pos="9072"/>
      </w:tabs>
      <w:spacing w:line="240" w:lineRule="auto"/>
    </w:pPr>
    <w:rPr>
      <w:rFonts w:ascii="Cambria" w:eastAsia="Cambria" w:hAnsi="Cambria" w:cs="Times New Roman"/>
      <w:sz w:val="24"/>
      <w:szCs w:val="24"/>
    </w:rPr>
  </w:style>
  <w:style w:type="character" w:customStyle="1" w:styleId="GlavaZnak">
    <w:name w:val="Glava Znak"/>
    <w:basedOn w:val="Privzetapisavaodstavka"/>
    <w:link w:val="Glava"/>
    <w:uiPriority w:val="99"/>
    <w:rsid w:val="004653E1"/>
    <w:rPr>
      <w:rFonts w:ascii="Cambria" w:eastAsia="Cambria" w:hAnsi="Cambria" w:cs="Times New Roman"/>
      <w:sz w:val="24"/>
      <w:szCs w:val="24"/>
    </w:rPr>
  </w:style>
  <w:style w:type="paragraph" w:styleId="Noga">
    <w:name w:val="footer"/>
    <w:basedOn w:val="Navaden"/>
    <w:link w:val="NogaZnak"/>
    <w:uiPriority w:val="99"/>
    <w:rsid w:val="004653E1"/>
    <w:pPr>
      <w:tabs>
        <w:tab w:val="center" w:pos="4536"/>
        <w:tab w:val="right" w:pos="9072"/>
      </w:tabs>
      <w:spacing w:line="240" w:lineRule="auto"/>
    </w:pPr>
    <w:rPr>
      <w:rFonts w:ascii="Cambria" w:eastAsia="Cambria" w:hAnsi="Cambria" w:cs="Times New Roman"/>
      <w:sz w:val="24"/>
      <w:szCs w:val="24"/>
    </w:rPr>
  </w:style>
  <w:style w:type="character" w:customStyle="1" w:styleId="NogaZnak">
    <w:name w:val="Noga Znak"/>
    <w:basedOn w:val="Privzetapisavaodstavka"/>
    <w:link w:val="Noga"/>
    <w:uiPriority w:val="99"/>
    <w:rsid w:val="004653E1"/>
    <w:rPr>
      <w:rFonts w:ascii="Cambria" w:eastAsia="Cambria" w:hAnsi="Cambria" w:cs="Times New Roman"/>
      <w:sz w:val="24"/>
      <w:szCs w:val="24"/>
    </w:rPr>
  </w:style>
  <w:style w:type="paragraph" w:styleId="Brezrazmikov">
    <w:name w:val="No Spacing"/>
    <w:uiPriority w:val="1"/>
    <w:qFormat/>
    <w:rsid w:val="004653E1"/>
    <w:pPr>
      <w:spacing w:after="0" w:line="240" w:lineRule="auto"/>
    </w:pPr>
    <w:rPr>
      <w:rFonts w:ascii="Calibri" w:eastAsia="Calibri" w:hAnsi="Calibri" w:cs="Times New Roman"/>
    </w:rPr>
  </w:style>
  <w:style w:type="table" w:styleId="Tabelamrea">
    <w:name w:val="Table Grid"/>
    <w:basedOn w:val="Navadnatabela"/>
    <w:uiPriority w:val="59"/>
    <w:rsid w:val="00465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EE633E"/>
    <w:rPr>
      <w:rFonts w:asciiTheme="minorHAnsi" w:eastAsiaTheme="minorHAnsi" w:hAnsiTheme="minorHAnsi" w:cstheme="minorBidi"/>
      <w:b/>
      <w:bCs/>
    </w:rPr>
  </w:style>
  <w:style w:type="character" w:customStyle="1" w:styleId="ZadevapripombeZnak">
    <w:name w:val="Zadeva pripombe Znak"/>
    <w:basedOn w:val="PripombabesediloZnak1"/>
    <w:link w:val="Zadevapripombe"/>
    <w:uiPriority w:val="99"/>
    <w:semiHidden/>
    <w:rsid w:val="00EE633E"/>
    <w:rPr>
      <w:rFonts w:ascii="Cambria" w:eastAsia="Cambria" w:hAnsi="Cambria" w:cs="Times New Roman"/>
      <w:b/>
      <w:bCs/>
      <w:sz w:val="20"/>
      <w:szCs w:val="20"/>
    </w:rPr>
  </w:style>
  <w:style w:type="character" w:customStyle="1" w:styleId="Naslov1Znak">
    <w:name w:val="Naslov 1 Znak"/>
    <w:basedOn w:val="Privzetapisavaodstavka"/>
    <w:link w:val="Naslov1"/>
    <w:uiPriority w:val="9"/>
    <w:rsid w:val="007110E3"/>
    <w:rPr>
      <w:rFonts w:asciiTheme="majorHAnsi" w:eastAsiaTheme="majorEastAsia" w:hAnsiTheme="majorHAnsi" w:cstheme="majorBidi"/>
      <w:b/>
      <w:bCs/>
      <w:color w:val="365F91" w:themeColor="accent1" w:themeShade="BF"/>
      <w:sz w:val="28"/>
      <w:szCs w:val="28"/>
    </w:rPr>
  </w:style>
  <w:style w:type="character" w:styleId="Krepko">
    <w:name w:val="Strong"/>
    <w:uiPriority w:val="22"/>
    <w:qFormat/>
    <w:rsid w:val="008F79CD"/>
    <w:rPr>
      <w:b/>
      <w:bCs/>
    </w:rPr>
  </w:style>
  <w:style w:type="character" w:customStyle="1" w:styleId="Naslov4Znak">
    <w:name w:val="Naslov 4 Znak"/>
    <w:basedOn w:val="Privzetapisavaodstavka"/>
    <w:link w:val="Naslov4"/>
    <w:uiPriority w:val="9"/>
    <w:semiHidden/>
    <w:rsid w:val="00780758"/>
    <w:rPr>
      <w:rFonts w:asciiTheme="majorHAnsi" w:eastAsiaTheme="majorEastAsia" w:hAnsiTheme="majorHAnsi" w:cstheme="majorBidi"/>
      <w:b/>
      <w:bCs/>
      <w:i/>
      <w:iCs/>
      <w:color w:val="4F81BD" w:themeColor="accent1"/>
    </w:rPr>
  </w:style>
  <w:style w:type="paragraph" w:customStyle="1" w:styleId="Default">
    <w:name w:val="Default"/>
    <w:rsid w:val="009142BB"/>
    <w:pPr>
      <w:autoSpaceDE w:val="0"/>
      <w:autoSpaceDN w:val="0"/>
      <w:adjustRightInd w:val="0"/>
      <w:spacing w:after="0" w:line="240" w:lineRule="auto"/>
    </w:pPr>
    <w:rPr>
      <w:rFonts w:ascii="Calibri" w:eastAsia="Times New Roman" w:hAnsi="Calibri" w:cs="Calibri"/>
      <w:color w:val="000000"/>
      <w:sz w:val="24"/>
      <w:szCs w:val="24"/>
      <w:lang w:eastAsia="sl-SI"/>
    </w:rPr>
  </w:style>
  <w:style w:type="paragraph" w:styleId="Podnaslov">
    <w:name w:val="Subtitle"/>
    <w:basedOn w:val="Navaden"/>
    <w:next w:val="Navaden"/>
    <w:link w:val="PodnaslovZnak"/>
    <w:uiPriority w:val="11"/>
    <w:qFormat/>
    <w:rsid w:val="00953709"/>
    <w:pPr>
      <w:numPr>
        <w:ilvl w:val="1"/>
      </w:numPr>
      <w:spacing w:after="160"/>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953709"/>
    <w:rPr>
      <w:rFonts w:eastAsiaTheme="minorEastAsia"/>
      <w:color w:val="5A5A5A" w:themeColor="text1" w:themeTint="A5"/>
      <w:spacing w:val="15"/>
    </w:rPr>
  </w:style>
  <w:style w:type="character" w:styleId="Neenpoudarek">
    <w:name w:val="Subtle Emphasis"/>
    <w:basedOn w:val="Privzetapisavaodstavka"/>
    <w:uiPriority w:val="19"/>
    <w:qFormat/>
    <w:rsid w:val="001E7AA3"/>
    <w:rPr>
      <w:i/>
      <w:iCs/>
      <w:color w:val="404040" w:themeColor="text1" w:themeTint="BF"/>
    </w:rPr>
  </w:style>
  <w:style w:type="character" w:styleId="SledenaHiperpovezava">
    <w:name w:val="FollowedHyperlink"/>
    <w:basedOn w:val="Privzetapisavaodstavka"/>
    <w:uiPriority w:val="99"/>
    <w:semiHidden/>
    <w:unhideWhenUsed/>
    <w:rsid w:val="003D7AF8"/>
    <w:rPr>
      <w:color w:val="800080"/>
      <w:u w:val="single"/>
    </w:rPr>
  </w:style>
  <w:style w:type="paragraph" w:customStyle="1" w:styleId="xl66">
    <w:name w:val="xl66"/>
    <w:basedOn w:val="Navaden"/>
    <w:rsid w:val="003D7AF8"/>
    <w:pPr>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67">
    <w:name w:val="xl67"/>
    <w:basedOn w:val="Navaden"/>
    <w:rsid w:val="003D7AF8"/>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68">
    <w:name w:val="xl68"/>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sl-SI"/>
    </w:rPr>
  </w:style>
  <w:style w:type="paragraph" w:customStyle="1" w:styleId="xl69">
    <w:name w:val="xl69"/>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Verdana" w:eastAsia="Times New Roman" w:hAnsi="Verdana" w:cs="Times New Roman"/>
      <w:b/>
      <w:bCs/>
      <w:sz w:val="20"/>
      <w:szCs w:val="20"/>
      <w:lang w:eastAsia="sl-SI"/>
    </w:rPr>
  </w:style>
  <w:style w:type="paragraph" w:customStyle="1" w:styleId="xl70">
    <w:name w:val="xl70"/>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color w:val="000000"/>
      <w:sz w:val="20"/>
      <w:szCs w:val="20"/>
      <w:lang w:eastAsia="sl-SI"/>
    </w:rPr>
  </w:style>
  <w:style w:type="paragraph" w:customStyle="1" w:styleId="xl71">
    <w:name w:val="xl71"/>
    <w:basedOn w:val="Navaden"/>
    <w:rsid w:val="003D7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0"/>
      <w:szCs w:val="20"/>
      <w:lang w:eastAsia="sl-SI"/>
    </w:rPr>
  </w:style>
  <w:style w:type="paragraph" w:customStyle="1" w:styleId="xl72">
    <w:name w:val="xl72"/>
    <w:basedOn w:val="Navaden"/>
    <w:rsid w:val="003D7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73">
    <w:name w:val="xl73"/>
    <w:basedOn w:val="Navaden"/>
    <w:rsid w:val="003D7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color w:val="000000"/>
      <w:sz w:val="20"/>
      <w:szCs w:val="20"/>
      <w:lang w:eastAsia="sl-SI"/>
    </w:rPr>
  </w:style>
  <w:style w:type="paragraph" w:customStyle="1" w:styleId="xl74">
    <w:name w:val="xl74"/>
    <w:basedOn w:val="Navaden"/>
    <w:rsid w:val="003D7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sz w:val="20"/>
      <w:szCs w:val="20"/>
      <w:lang w:eastAsia="sl-SI"/>
    </w:rPr>
  </w:style>
  <w:style w:type="paragraph" w:customStyle="1" w:styleId="xl75">
    <w:name w:val="xl75"/>
    <w:basedOn w:val="Navaden"/>
    <w:rsid w:val="003D7AF8"/>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76">
    <w:name w:val="xl76"/>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77">
    <w:name w:val="xl77"/>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Verdana" w:eastAsia="Times New Roman" w:hAnsi="Verdana" w:cs="Times New Roman"/>
      <w:sz w:val="20"/>
      <w:szCs w:val="20"/>
      <w:lang w:eastAsia="sl-SI"/>
    </w:rPr>
  </w:style>
  <w:style w:type="paragraph" w:customStyle="1" w:styleId="xl78">
    <w:name w:val="xl78"/>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Verdana" w:eastAsia="Times New Roman" w:hAnsi="Verdana" w:cs="Times New Roman"/>
      <w:b/>
      <w:bCs/>
      <w:sz w:val="20"/>
      <w:szCs w:val="20"/>
      <w:lang w:eastAsia="sl-SI"/>
    </w:rPr>
  </w:style>
  <w:style w:type="paragraph" w:customStyle="1" w:styleId="xl79">
    <w:name w:val="xl79"/>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Verdana" w:eastAsia="Times New Roman" w:hAnsi="Verdana" w:cs="Times New Roman"/>
      <w:b/>
      <w:bCs/>
      <w:color w:val="000000"/>
      <w:sz w:val="20"/>
      <w:szCs w:val="20"/>
      <w:lang w:eastAsia="sl-SI"/>
    </w:rPr>
  </w:style>
  <w:style w:type="paragraph" w:customStyle="1" w:styleId="xl80">
    <w:name w:val="xl80"/>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Verdana" w:eastAsia="Times New Roman" w:hAnsi="Verdana" w:cs="Times New Roman"/>
      <w:color w:val="000000"/>
      <w:sz w:val="20"/>
      <w:szCs w:val="20"/>
      <w:lang w:eastAsia="sl-SI"/>
    </w:rPr>
  </w:style>
  <w:style w:type="paragraph" w:customStyle="1" w:styleId="xl81">
    <w:name w:val="xl81"/>
    <w:basedOn w:val="Navaden"/>
    <w:rsid w:val="003D7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82">
    <w:name w:val="xl82"/>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sl-SI"/>
    </w:rPr>
  </w:style>
  <w:style w:type="paragraph" w:customStyle="1" w:styleId="xl83">
    <w:name w:val="xl83"/>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84">
    <w:name w:val="xl84"/>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85">
    <w:name w:val="xl85"/>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ymbol" w:eastAsia="Times New Roman" w:hAnsi="Symbol" w:cs="Times New Roman"/>
      <w:sz w:val="20"/>
      <w:szCs w:val="20"/>
      <w:lang w:eastAsia="sl-SI"/>
    </w:rPr>
  </w:style>
  <w:style w:type="paragraph" w:customStyle="1" w:styleId="xl86">
    <w:name w:val="xl86"/>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ymbol" w:eastAsia="Times New Roman" w:hAnsi="Symbol" w:cs="Times New Roman"/>
      <w:color w:val="000000"/>
      <w:sz w:val="20"/>
      <w:szCs w:val="20"/>
      <w:lang w:eastAsia="sl-SI"/>
    </w:rPr>
  </w:style>
  <w:style w:type="paragraph" w:customStyle="1" w:styleId="xl87">
    <w:name w:val="xl87"/>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88">
    <w:name w:val="xl88"/>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Verdana" w:eastAsia="Times New Roman" w:hAnsi="Verdana" w:cs="Times New Roman"/>
      <w:sz w:val="20"/>
      <w:szCs w:val="20"/>
      <w:lang w:eastAsia="sl-SI"/>
    </w:rPr>
  </w:style>
  <w:style w:type="paragraph" w:customStyle="1" w:styleId="xl89">
    <w:name w:val="xl89"/>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Verdana" w:eastAsia="Times New Roman" w:hAnsi="Verdana" w:cs="Times New Roman"/>
      <w:sz w:val="20"/>
      <w:szCs w:val="20"/>
      <w:lang w:eastAsia="sl-SI"/>
    </w:rPr>
  </w:style>
  <w:style w:type="paragraph" w:customStyle="1" w:styleId="xl90">
    <w:name w:val="xl90"/>
    <w:basedOn w:val="Navaden"/>
    <w:rsid w:val="003D7AF8"/>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91">
    <w:name w:val="xl91"/>
    <w:basedOn w:val="Navaden"/>
    <w:rsid w:val="003D7AF8"/>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92">
    <w:name w:val="xl92"/>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ymbol" w:eastAsia="Times New Roman" w:hAnsi="Symbol" w:cs="Times New Roman"/>
      <w:sz w:val="20"/>
      <w:szCs w:val="20"/>
      <w:lang w:eastAsia="sl-SI"/>
    </w:rPr>
  </w:style>
  <w:style w:type="paragraph" w:customStyle="1" w:styleId="xl93">
    <w:name w:val="xl93"/>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Verdana" w:eastAsia="Times New Roman" w:hAnsi="Verdana" w:cs="Times New Roman"/>
      <w:sz w:val="20"/>
      <w:szCs w:val="20"/>
      <w:lang w:eastAsia="sl-SI"/>
    </w:rPr>
  </w:style>
  <w:style w:type="paragraph" w:customStyle="1" w:styleId="xl94">
    <w:name w:val="xl94"/>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95">
    <w:name w:val="xl95"/>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Verdana" w:eastAsia="Times New Roman" w:hAnsi="Verdana" w:cs="Times New Roman"/>
      <w:color w:val="000000"/>
      <w:sz w:val="20"/>
      <w:szCs w:val="20"/>
      <w:lang w:eastAsia="sl-SI"/>
    </w:rPr>
  </w:style>
  <w:style w:type="paragraph" w:customStyle="1" w:styleId="xl96">
    <w:name w:val="xl96"/>
    <w:basedOn w:val="Navaden"/>
    <w:rsid w:val="003D7A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ymbol" w:eastAsia="Times New Roman" w:hAnsi="Symbol" w:cs="Times New Roman"/>
      <w:color w:val="000000"/>
      <w:sz w:val="20"/>
      <w:szCs w:val="20"/>
      <w:lang w:eastAsia="sl-SI"/>
    </w:rPr>
  </w:style>
  <w:style w:type="paragraph" w:customStyle="1" w:styleId="xl97">
    <w:name w:val="xl97"/>
    <w:basedOn w:val="Navaden"/>
    <w:rsid w:val="003D7AF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color w:val="000000"/>
      <w:sz w:val="20"/>
      <w:szCs w:val="20"/>
      <w:lang w:eastAsia="sl-SI"/>
    </w:rPr>
  </w:style>
  <w:style w:type="paragraph" w:customStyle="1" w:styleId="xl98">
    <w:name w:val="xl98"/>
    <w:basedOn w:val="Navaden"/>
    <w:rsid w:val="003D7AF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67016">
      <w:bodyDiv w:val="1"/>
      <w:marLeft w:val="0"/>
      <w:marRight w:val="0"/>
      <w:marTop w:val="0"/>
      <w:marBottom w:val="0"/>
      <w:divBdr>
        <w:top w:val="none" w:sz="0" w:space="0" w:color="auto"/>
        <w:left w:val="none" w:sz="0" w:space="0" w:color="auto"/>
        <w:bottom w:val="none" w:sz="0" w:space="0" w:color="auto"/>
        <w:right w:val="none" w:sz="0" w:space="0" w:color="auto"/>
      </w:divBdr>
    </w:div>
    <w:div w:id="1194617441">
      <w:bodyDiv w:val="1"/>
      <w:marLeft w:val="0"/>
      <w:marRight w:val="0"/>
      <w:marTop w:val="0"/>
      <w:marBottom w:val="0"/>
      <w:divBdr>
        <w:top w:val="none" w:sz="0" w:space="0" w:color="auto"/>
        <w:left w:val="none" w:sz="0" w:space="0" w:color="auto"/>
        <w:bottom w:val="none" w:sz="0" w:space="0" w:color="auto"/>
        <w:right w:val="none" w:sz="0" w:space="0" w:color="auto"/>
      </w:divBdr>
    </w:div>
    <w:div w:id="1846244680">
      <w:bodyDiv w:val="1"/>
      <w:marLeft w:val="0"/>
      <w:marRight w:val="0"/>
      <w:marTop w:val="0"/>
      <w:marBottom w:val="0"/>
      <w:divBdr>
        <w:top w:val="none" w:sz="0" w:space="0" w:color="auto"/>
        <w:left w:val="none" w:sz="0" w:space="0" w:color="auto"/>
        <w:bottom w:val="none" w:sz="0" w:space="0" w:color="auto"/>
        <w:right w:val="none" w:sz="0" w:space="0" w:color="auto"/>
      </w:divBdr>
    </w:div>
    <w:div w:id="2112433829">
      <w:bodyDiv w:val="1"/>
      <w:marLeft w:val="0"/>
      <w:marRight w:val="0"/>
      <w:marTop w:val="0"/>
      <w:marBottom w:val="0"/>
      <w:divBdr>
        <w:top w:val="none" w:sz="0" w:space="0" w:color="auto"/>
        <w:left w:val="none" w:sz="0" w:space="0" w:color="auto"/>
        <w:bottom w:val="none" w:sz="0" w:space="0" w:color="auto"/>
        <w:right w:val="none" w:sz="0" w:space="0" w:color="auto"/>
      </w:divBdr>
    </w:div>
    <w:div w:id="214645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C4C55-2579-4004-A214-52FA8BC8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14721</Words>
  <Characters>83914</Characters>
  <Application>Microsoft Office Word</Application>
  <DocSecurity>0</DocSecurity>
  <Lines>699</Lines>
  <Paragraphs>196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Debevec</dc:creator>
  <cp:lastModifiedBy>Tatjana Debevec</cp:lastModifiedBy>
  <cp:revision>6</cp:revision>
  <cp:lastPrinted>2019-02-14T14:08:00Z</cp:lastPrinted>
  <dcterms:created xsi:type="dcterms:W3CDTF">2019-02-27T09:51:00Z</dcterms:created>
  <dcterms:modified xsi:type="dcterms:W3CDTF">2019-02-27T10:17:00Z</dcterms:modified>
</cp:coreProperties>
</file>